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28.jpeg" ContentType="image/jpeg"/>
  <Override PartName="/word/media/image1.png" ContentType="image/png"/>
  <Override PartName="/word/media/image2.jpeg" ContentType="image/jpeg"/>
  <Override PartName="/word/media/image3.jpeg" ContentType="image/jpeg"/>
  <Override PartName="/word/media/image4.jpeg" ContentType="image/jpeg"/>
  <Override PartName="/word/media/image5.jpeg" ContentType="image/jpeg"/>
  <Override PartName="/word/media/image6.png" ContentType="image/png"/>
  <Override PartName="/word/media/image34.jpeg" ContentType="image/jpeg"/>
  <Override PartName="/word/media/image8.jpeg" ContentType="image/jpeg"/>
  <Override PartName="/word/media/image7.gif" ContentType="image/gif"/>
  <Override PartName="/word/media/image32.jpeg" ContentType="image/jpeg"/>
  <Override PartName="/word/media/image9.jpeg" ContentType="image/jpeg"/>
  <Override PartName="/word/media/image10.jpeg" ContentType="image/jpeg"/>
  <Override PartName="/word/media/image11.jpeg" ContentType="image/jpeg"/>
  <Override PartName="/word/media/image12.jpeg" ContentType="image/jpeg"/>
  <Override PartName="/word/media/image13.jpeg" ContentType="image/jpeg"/>
  <Override PartName="/word/media/image19.png" ContentType="image/png"/>
  <Override PartName="/word/media/image14.jpeg" ContentType="image/jpeg"/>
  <Override PartName="/word/media/image15.jpeg" ContentType="image/jpeg"/>
  <Override PartName="/word/media/image16.jpeg" ContentType="image/jpeg"/>
  <Override PartName="/word/media/image17.jpeg" ContentType="image/jpeg"/>
  <Override PartName="/word/media/image18.jpeg" ContentType="image/jpeg"/>
  <Override PartName="/word/media/hdphoto1.wdp" ContentType="image/vnd.ms-photo"/>
  <Override PartName="/word/media/image36.jpeg" ContentType="image/jpeg"/>
  <Override PartName="/word/media/image20.png" ContentType="image/png"/>
  <Override PartName="/word/media/image40.jpeg" ContentType="image/jpeg"/>
  <Override PartName="/word/media/image21.png" ContentType="image/png"/>
  <Override PartName="/word/media/image22.png" ContentType="image/png"/>
  <Override PartName="/word/media/image23.png" ContentType="image/png"/>
  <Override PartName="/word/media/image24.png" ContentType="image/png"/>
  <Override PartName="/word/media/hdphoto2.wdp" ContentType="image/vnd.ms-photo"/>
  <Override PartName="/word/media/image26.png" ContentType="image/png"/>
  <Override PartName="/word/media/image25.jpeg" ContentType="image/jpeg"/>
  <Override PartName="/word/media/image27.jpeg" ContentType="image/jpeg"/>
  <Override PartName="/word/media/image29.jpeg" ContentType="image/jpeg"/>
  <Override PartName="/word/media/image30.jpeg" ContentType="image/jpeg"/>
  <Override PartName="/word/media/image31.jpeg" ContentType="image/jpeg"/>
  <Override PartName="/word/media/image33.jpeg" ContentType="image/jpeg"/>
  <Override PartName="/word/media/image35.jpeg" ContentType="image/jpeg"/>
  <Override PartName="/word/media/image37.jpeg" ContentType="image/jpeg"/>
  <Override PartName="/word/media/image38.jpeg" ContentType="image/jpeg"/>
  <Override PartName="/word/media/image39.jpeg" ContentType="image/jpeg"/>
  <Override PartName="/word/footer4.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_rels/chart1.xml.rels" ContentType="application/vnd.openxmlformats-package.relationships+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embeddings/Microsoft_Excel_Worksheet.xlsx" ContentType="application/vnd.openxmlformats-officedocument.spreadsheetml.sheet"/>
  <Override PartName="/word/_rels/document.xml.rels" ContentType="application/vnd.openxmlformats-package.relationships+xml"/>
  <Override PartName="/customXml/item1.xml" ContentType="application/xml"/>
  <Override PartName="/customXml/item2.xml" ContentType="application/xml"/>
  <Override PartName="/customXml/itemProps1.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4.xml" ContentType="application/xml"/>
  <Override PartName="/customXml/itemProps3.xml" ContentType="application/vnd.openxmlformats-officedocument.customXmlProperties+xml"/>
  <Override PartName="/customXml/itemProps4.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Types>
</file>

<file path=_rels/.rels><?xml version="1.0" encoding="UTF-8"?>
<Relationships xmlns="http://schemas.openxmlformats.org/package/2006/relationships"><Relationship Id="rId1" Type="http://schemas.openxmlformats.org/officedocument/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sectPr>
          <w:footerReference w:type="even" r:id="rId3"/>
          <w:footerReference w:type="default" r:id="rId4"/>
          <w:footerReference w:type="first" r:id="rId5"/>
          <w:type w:val="nextPage"/>
          <w:pgSz w:w="11906" w:h="16838"/>
          <w:pgMar w:left="0" w:right="0" w:gutter="0" w:header="0" w:top="0" w:footer="709" w:bottom="766"/>
          <w:pgNumType w:fmt="decimal"/>
          <w:formProt w:val="false"/>
          <w:textDirection w:val="lrTb"/>
          <w:docGrid w:type="default" w:linePitch="360" w:charSpace="24576"/>
        </w:sectPr>
        <w:pStyle w:val="Normal"/>
        <w:rPr/>
      </w:pPr>
      <w:r>
        <w:rPr/>
        <w:drawing>
          <wp:inline distT="0" distB="0" distL="0" distR="0">
            <wp:extent cx="7546340" cy="10673080"/>
            <wp:effectExtent l="0" t="0" r="0" b="0"/>
            <wp:docPr id="1" name="Obraz 4" descr="Obraz zawierający tekst, kreskówka, plakat&#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4" descr="Obraz zawierający tekst, kreskówka, plakat&#10;&#10;Zawartość wygenerowana przez AI może być niepoprawna." title=""/>
                    <pic:cNvPicPr>
                      <a:picLocks noChangeAspect="1" noChangeArrowheads="1"/>
                    </pic:cNvPicPr>
                  </pic:nvPicPr>
                  <pic:blipFill>
                    <a:blip r:embed="rId2"/>
                    <a:stretch>
                      <a:fillRect/>
                    </a:stretch>
                  </pic:blipFill>
                  <pic:spPr bwMode="auto">
                    <a:xfrm>
                      <a:off x="0" y="0"/>
                      <a:ext cx="7546340" cy="10673080"/>
                    </a:xfrm>
                    <a:prstGeom prst="rect">
                      <a:avLst/>
                    </a:prstGeom>
                    <a:noFill/>
                  </pic:spPr>
                </pic:pic>
              </a:graphicData>
            </a:graphic>
          </wp:inline>
        </w:drawing>
      </w:r>
    </w:p>
    <w:p>
      <w:pPr>
        <w:pStyle w:val="Normal"/>
        <w:rPr>
          <w:rFonts w:cs="Arial"/>
          <w:b/>
          <w:bCs/>
        </w:rPr>
      </w:pPr>
      <w:r>
        <w:rPr>
          <w:rFonts w:cs="Arial"/>
          <w:b/>
          <w:bCs/>
        </w:rPr>
        <w:t xml:space="preserve">Opracowanie: </w:t>
      </w:r>
    </w:p>
    <w:p>
      <w:pPr>
        <w:pStyle w:val="Normal"/>
        <w:rPr>
          <w:rFonts w:cs="Arial"/>
        </w:rPr>
      </w:pPr>
      <w:r>
        <w:rPr>
          <w:rFonts w:cs="Arial"/>
        </w:rPr>
      </w:r>
    </w:p>
    <w:p>
      <w:pPr>
        <w:pStyle w:val="Normal"/>
        <w:spacing w:lineRule="auto" w:line="240" w:before="0" w:after="0"/>
        <w:rPr>
          <w:rFonts w:cs="Arial"/>
        </w:rPr>
      </w:pPr>
      <w:r>
        <w:rPr>
          <w:rFonts w:cs="Arial"/>
        </w:rPr>
        <w:t>Urząd Miejski w Nowym Miasteczku</w:t>
      </w:r>
    </w:p>
    <w:p>
      <w:pPr>
        <w:pStyle w:val="Normal"/>
        <w:spacing w:lineRule="auto" w:line="240" w:before="0" w:after="0"/>
        <w:rPr>
          <w:rFonts w:cs="Arial"/>
        </w:rPr>
      </w:pPr>
      <w:r>
        <w:rPr>
          <w:rFonts w:cs="Arial"/>
        </w:rPr>
        <w:t>ul. Rynek 2</w:t>
      </w:r>
    </w:p>
    <w:p>
      <w:pPr>
        <w:pStyle w:val="Normal"/>
        <w:spacing w:lineRule="auto" w:line="240" w:before="0" w:after="0"/>
        <w:rPr>
          <w:rFonts w:cs="Arial"/>
        </w:rPr>
      </w:pPr>
      <w:r>
        <w:rPr>
          <w:rFonts w:cs="Arial"/>
        </w:rPr>
        <w:t>67-124 Nowe Miasteczko</w:t>
      </w:r>
    </w:p>
    <w:p>
      <w:pPr>
        <w:pStyle w:val="Normal"/>
        <w:rPr>
          <w:rFonts w:cs="Arial"/>
        </w:rPr>
      </w:pPr>
      <w:r>
        <w:rPr>
          <w:rFonts w:cs="Arial"/>
        </w:rPr>
      </w:r>
    </w:p>
    <w:p>
      <w:pPr>
        <w:pStyle w:val="Normal"/>
        <w:rPr>
          <w:rFonts w:cs="Arial"/>
        </w:rPr>
      </w:pPr>
      <w:r>
        <w:rPr/>
        <w:drawing>
          <wp:inline distT="0" distB="0" distL="0" distR="0">
            <wp:extent cx="2447925" cy="337185"/>
            <wp:effectExtent l="0" t="0" r="0" b="0"/>
            <wp:docPr id="2" name="Obraz 966717483" descr="Obraz zawierający tekst, Czcionka, linia, zrzut ekranu&#10;&#10;Opis wygenerowany automatycznie"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966717483" descr="Obraz zawierający tekst, Czcionka, linia, zrzut ekranu&#10;&#10;Opis wygenerowany automatycznie" title=""/>
                    <pic:cNvPicPr>
                      <a:picLocks noChangeAspect="1" noChangeArrowheads="1"/>
                    </pic:cNvPicPr>
                  </pic:nvPicPr>
                  <pic:blipFill>
                    <a:blip r:embed="rId6"/>
                    <a:stretch>
                      <a:fillRect/>
                    </a:stretch>
                  </pic:blipFill>
                  <pic:spPr bwMode="auto">
                    <a:xfrm>
                      <a:off x="0" y="0"/>
                      <a:ext cx="2447925" cy="337185"/>
                    </a:xfrm>
                    <a:prstGeom prst="rect">
                      <a:avLst/>
                    </a:prstGeom>
                    <a:noFill/>
                  </pic:spPr>
                </pic:pic>
              </a:graphicData>
            </a:graphic>
          </wp:inline>
        </w:drawing>
      </w:r>
    </w:p>
    <w:p>
      <w:pPr>
        <w:pStyle w:val="Normal"/>
        <w:jc w:val="start"/>
        <w:rPr>
          <w:rStyle w:val="InternetLink"/>
          <w:rFonts w:cs="Arial"/>
        </w:rPr>
      </w:pPr>
      <w:r>
        <w:rPr>
          <w:rFonts w:cs="Arial"/>
        </w:rPr>
        <w:t xml:space="preserve">Projekty Miejskie </w:t>
        <w:br/>
      </w:r>
      <w:hyperlink r:id="rId7">
        <w:r>
          <w:rPr>
            <w:rStyle w:val="Hyperlink"/>
            <w:rFonts w:cs="Arial"/>
          </w:rPr>
          <w:t>www.projektymiejskie.pl</w:t>
        </w:r>
      </w:hyperlink>
    </w:p>
    <w:p>
      <w:pPr>
        <w:pStyle w:val="Normal"/>
        <w:spacing w:lineRule="auto" w:line="240" w:before="0" w:after="0"/>
        <w:rPr>
          <w:rFonts w:eastAsia="Verdana-Bold" w:cs="Verdana-Bold"/>
          <w:b/>
          <w:bCs/>
          <w:kern w:val="0"/>
        </w:rPr>
      </w:pPr>
      <w:r>
        <w:rPr>
          <w:rFonts w:eastAsia="Verdana-Bold" w:cs="Verdana-Bold"/>
          <w:b/>
          <w:bCs/>
          <w:kern w:val="0"/>
        </w:rPr>
      </w:r>
    </w:p>
    <w:p>
      <w:pPr>
        <w:pStyle w:val="Normal"/>
        <w:spacing w:lineRule="auto" w:line="240" w:before="0" w:after="0"/>
        <w:rPr>
          <w:rFonts w:eastAsia="Verdana-Bold" w:cs="Verdana-Bold"/>
          <w:b/>
          <w:bCs/>
          <w:kern w:val="0"/>
        </w:rPr>
      </w:pPr>
      <w:r>
        <w:rPr>
          <w:rFonts w:eastAsia="Verdana-Bold" w:cs="Verdana-Bold"/>
          <w:b/>
          <w:bCs/>
          <w:kern w:val="0"/>
        </w:rPr>
        <w:t>Zespół redakcyjny:</w:t>
      </w:r>
    </w:p>
    <w:p>
      <w:pPr>
        <w:pStyle w:val="Normal"/>
        <w:spacing w:lineRule="auto" w:line="240" w:before="0" w:after="0"/>
        <w:rPr>
          <w:rFonts w:eastAsia="Verdana-Bold" w:cs="Verdana"/>
          <w:kern w:val="0"/>
        </w:rPr>
      </w:pPr>
      <w:r>
        <w:rPr>
          <w:rFonts w:eastAsia="Verdana-Bold" w:cs="Verdana"/>
          <w:kern w:val="0"/>
        </w:rPr>
        <w:t xml:space="preserve">Urząd Miejski w </w:t>
      </w:r>
      <w:r>
        <w:rPr>
          <w:rFonts w:cs="Arial"/>
        </w:rPr>
        <w:t>Nowym Miasteczku</w:t>
      </w:r>
      <w:r>
        <w:rPr>
          <w:rFonts w:eastAsia="Verdana-Bold" w:cs="Verdana"/>
          <w:kern w:val="0"/>
        </w:rPr>
        <w:t>:</w:t>
      </w:r>
    </w:p>
    <w:p>
      <w:pPr>
        <w:pStyle w:val="Normal"/>
        <w:spacing w:lineRule="auto" w:line="240" w:before="0" w:after="0"/>
        <w:rPr>
          <w:rFonts w:eastAsia="Verdana-Bold" w:cs="Verdana"/>
          <w:kern w:val="0"/>
        </w:rPr>
      </w:pPr>
      <w:r>
        <w:rPr>
          <w:rFonts w:eastAsia="Verdana-Bold" w:cs="Verdana"/>
          <w:kern w:val="0"/>
        </w:rPr>
        <w:t xml:space="preserve">Paweł Kozłowski </w:t>
      </w:r>
    </w:p>
    <w:p>
      <w:pPr>
        <w:pStyle w:val="Normal"/>
        <w:spacing w:lineRule="auto" w:line="240" w:before="0" w:after="0"/>
        <w:rPr>
          <w:rFonts w:eastAsia="Verdana-Bold" w:cs="Verdana"/>
          <w:kern w:val="0"/>
        </w:rPr>
      </w:pPr>
      <w:r>
        <w:rPr>
          <w:rFonts w:eastAsia="Verdana-Bold" w:cs="Verdana"/>
          <w:kern w:val="0"/>
        </w:rPr>
        <w:t>Mirosława Dulat</w:t>
      </w:r>
    </w:p>
    <w:p>
      <w:pPr>
        <w:pStyle w:val="Normal"/>
        <w:spacing w:lineRule="auto" w:line="240" w:before="0" w:after="0"/>
        <w:rPr>
          <w:rFonts w:eastAsia="Verdana-Bold" w:cs="Verdana"/>
          <w:kern w:val="0"/>
        </w:rPr>
      </w:pPr>
      <w:r>
        <w:rPr>
          <w:rFonts w:eastAsia="Verdana-Bold" w:cs="Verdana"/>
          <w:kern w:val="0"/>
        </w:rPr>
        <w:t>Anna Kwapień</w:t>
      </w:r>
    </w:p>
    <w:p>
      <w:pPr>
        <w:pStyle w:val="Normal"/>
        <w:spacing w:lineRule="auto" w:line="240" w:before="0" w:after="0"/>
        <w:rPr>
          <w:rFonts w:eastAsia="Verdana-Bold" w:cs="Verdana"/>
          <w:kern w:val="0"/>
        </w:rPr>
      </w:pPr>
      <w:r>
        <w:rPr>
          <w:rFonts w:eastAsia="Verdana-Bold" w:cs="Verdana"/>
          <w:kern w:val="0"/>
        </w:rPr>
        <w:t xml:space="preserve">Adela Wójcik </w:t>
      </w:r>
    </w:p>
    <w:p>
      <w:pPr>
        <w:pStyle w:val="Normal"/>
        <w:spacing w:lineRule="auto" w:line="240" w:before="0" w:after="0"/>
        <w:rPr>
          <w:rFonts w:eastAsia="Verdana-Bold" w:cs="Verdana"/>
          <w:kern w:val="0"/>
        </w:rPr>
      </w:pPr>
      <w:r>
        <w:rPr>
          <w:rFonts w:eastAsia="Verdana-Bold" w:cs="Verdana"/>
          <w:kern w:val="0"/>
        </w:rPr>
        <w:t xml:space="preserve">Tomasz Wysoczański </w:t>
      </w:r>
    </w:p>
    <w:p>
      <w:pPr>
        <w:pStyle w:val="Normal"/>
        <w:spacing w:lineRule="auto" w:line="240" w:before="0" w:after="0"/>
        <w:rPr>
          <w:rFonts w:eastAsia="Verdana-Bold" w:cs="Verdana"/>
          <w:kern w:val="0"/>
        </w:rPr>
      </w:pPr>
      <w:r>
        <w:rPr>
          <w:rFonts w:eastAsia="Verdana-Bold" w:cs="Verdana"/>
          <w:kern w:val="0"/>
        </w:rPr>
      </w:r>
    </w:p>
    <w:p>
      <w:pPr>
        <w:pStyle w:val="Normal"/>
        <w:spacing w:lineRule="auto" w:line="240" w:before="0" w:after="0"/>
        <w:rPr>
          <w:rFonts w:eastAsia="Verdana-Bold" w:cs="Verdana"/>
          <w:kern w:val="0"/>
        </w:rPr>
      </w:pPr>
      <w:r>
        <w:rPr>
          <w:rFonts w:eastAsia="Verdana-Bold" w:cs="Verdana"/>
          <w:kern w:val="0"/>
        </w:rPr>
      </w:r>
    </w:p>
    <w:p>
      <w:pPr>
        <w:pStyle w:val="Normal"/>
        <w:spacing w:lineRule="auto" w:line="240" w:before="0" w:after="0"/>
        <w:rPr>
          <w:rFonts w:eastAsia="Verdana-Bold" w:cs="Verdana"/>
          <w:kern w:val="0"/>
        </w:rPr>
      </w:pPr>
      <w:r>
        <w:rPr>
          <w:rFonts w:eastAsia="Verdana-Bold" w:cs="Verdana"/>
          <w:kern w:val="0"/>
        </w:rPr>
        <w:t>Projekty Miejskie:</w:t>
      </w:r>
    </w:p>
    <w:p>
      <w:pPr>
        <w:pStyle w:val="Normal"/>
        <w:spacing w:lineRule="auto" w:line="240" w:before="0" w:after="0"/>
        <w:rPr>
          <w:rFonts w:eastAsia="Verdana-Bold" w:cs="Verdana"/>
          <w:kern w:val="0"/>
        </w:rPr>
      </w:pPr>
      <w:r>
        <w:rPr>
          <w:rFonts w:eastAsia="Verdana-Bold" w:cs="Verdana"/>
          <w:kern w:val="0"/>
        </w:rPr>
        <w:t>Andrzej Brzozowy</w:t>
      </w:r>
    </w:p>
    <w:p>
      <w:pPr>
        <w:pStyle w:val="Normal"/>
        <w:spacing w:lineRule="auto" w:line="240" w:before="0" w:after="0"/>
        <w:rPr>
          <w:rFonts w:eastAsia="Verdana-Bold" w:cs="Verdana"/>
          <w:kern w:val="0"/>
        </w:rPr>
      </w:pPr>
      <w:r>
        <w:rPr>
          <w:rFonts w:eastAsia="Verdana-Bold" w:cs="Verdana"/>
          <w:kern w:val="0"/>
        </w:rPr>
        <w:t>Jacek Skałecki</w:t>
      </w:r>
    </w:p>
    <w:p>
      <w:pPr>
        <w:pStyle w:val="Normal"/>
        <w:spacing w:lineRule="auto" w:line="240" w:before="0" w:after="0"/>
        <w:rPr>
          <w:rFonts w:eastAsia="Verdana-Bold" w:cs="Verdana"/>
          <w:kern w:val="0"/>
        </w:rPr>
      </w:pPr>
      <w:r>
        <w:rPr>
          <w:rFonts w:eastAsia="Verdana-Bold" w:cs="Verdana"/>
          <w:kern w:val="0"/>
        </w:rPr>
        <w:t>Ewelina Diakowska</w:t>
      </w:r>
    </w:p>
    <w:p>
      <w:pPr>
        <w:pStyle w:val="Normal"/>
        <w:spacing w:lineRule="auto" w:line="240" w:before="0" w:after="0"/>
        <w:rPr>
          <w:rStyle w:val="InternetLink"/>
          <w:rFonts w:cs="Arial"/>
        </w:rPr>
      </w:pPr>
      <w:r>
        <w:rPr>
          <w:rFonts w:cs="Arial"/>
        </w:rPr>
      </w:r>
    </w:p>
    <w:p>
      <w:pPr>
        <w:pStyle w:val="Normal"/>
        <w:spacing w:lineRule="auto" w:line="240" w:before="0" w:after="0"/>
        <w:rPr>
          <w:rStyle w:val="InternetLink"/>
          <w:rFonts w:cs="Arial"/>
        </w:rPr>
      </w:pPr>
      <w:r>
        <w:rPr>
          <w:rFonts w:cs="Arial"/>
        </w:rPr>
      </w:r>
    </w:p>
    <w:p>
      <w:pPr>
        <w:pStyle w:val="Normal"/>
        <w:spacing w:lineRule="auto" w:line="240" w:before="0" w:after="0"/>
        <w:rPr>
          <w:rFonts w:cs="Arial"/>
        </w:rPr>
      </w:pPr>
      <w:r>
        <w:rPr>
          <w:rFonts w:cs="Arial"/>
        </w:rPr>
        <w:t>Dziękujemy wszystkim osobom oraz podmiotom zaangażowanym w proces powstania</w:t>
      </w:r>
    </w:p>
    <w:p>
      <w:pPr>
        <w:pStyle w:val="Normal"/>
        <w:spacing w:lineRule="auto" w:line="240" w:before="0" w:after="0"/>
        <w:rPr>
          <w:rFonts w:cs="Arial"/>
        </w:rPr>
      </w:pPr>
      <w:r>
        <w:rPr>
          <w:rFonts w:cs="Arial"/>
        </w:rPr>
        <w:t>tego dokumentu.</w:t>
      </w:r>
    </w:p>
    <w:p>
      <w:pPr>
        <w:pStyle w:val="Normal"/>
        <w:spacing w:lineRule="auto" w:line="240" w:before="0" w:after="0"/>
        <w:rPr>
          <w:rFonts w:cs="Arial"/>
        </w:rPr>
      </w:pPr>
      <w:r>
        <w:rPr>
          <w:rFonts w:cs="Arial"/>
        </w:rPr>
      </w:r>
    </w:p>
    <w:p>
      <w:pPr>
        <w:pStyle w:val="Normal"/>
        <w:spacing w:lineRule="auto" w:line="240" w:before="0" w:after="0"/>
        <w:rPr>
          <w:rFonts w:cs="Arial"/>
        </w:rPr>
      </w:pPr>
      <w:r>
        <w:rPr>
          <w:rFonts w:cs="Arial"/>
        </w:rPr>
        <w:t>Materiał fotograficzny przedstawiony w opracowaniu stanowi opracowanie własne autorów z wyłączeniem wskazania odrębnego źródła fotografii.</w:t>
      </w:r>
    </w:p>
    <w:p>
      <w:pPr>
        <w:pStyle w:val="Normal"/>
        <w:rPr>
          <w:rFonts w:cs="Arial"/>
        </w:rPr>
      </w:pPr>
      <w:r>
        <w:rPr>
          <w:rFonts w:cs="Arial"/>
        </w:rPr>
      </w:r>
    </w:p>
    <w:p>
      <w:pPr>
        <w:pStyle w:val="Normal"/>
        <w:spacing w:lineRule="auto" w:line="240" w:before="0" w:after="0"/>
        <w:jc w:val="start"/>
        <w:rPr/>
      </w:pPr>
      <w:r>
        <w:rPr/>
      </w:r>
      <w:r>
        <w:br w:type="page"/>
      </w:r>
    </w:p>
    <w:p>
      <w:pPr>
        <w:pStyle w:val="Normal"/>
        <w:spacing w:lineRule="auto" w:line="240" w:before="0" w:after="0"/>
        <w:jc w:val="start"/>
        <w:rPr/>
      </w:pPr>
      <w:r>
        <w:rPr/>
      </w:r>
    </w:p>
    <w:sdt>
      <w:sdtPr>
        <w:docPartObj>
          <w:docPartGallery w:val="Table of Contents"/>
          <w:docPartUnique w:val="true"/>
        </w:docPartObj>
      </w:sdtPr>
      <w:sdtContent>
        <w:p>
          <w:pPr>
            <w:pStyle w:val="TOC1"/>
            <w:tabs>
              <w:tab w:val="clear" w:pos="708"/>
              <w:tab w:val="right" w:pos="9062" w:leader="dot"/>
            </w:tabs>
            <w:rPr>
              <w:rFonts w:eastAsia="" w:eastAsiaTheme="minorEastAsia"/>
              <w:sz w:val="24"/>
              <w:szCs w:val="24"/>
              <w:lang w:eastAsia="pl-PL"/>
            </w:rPr>
          </w:pPr>
          <w:r>
            <w:fldChar w:fldCharType="begin"/>
          </w:r>
          <w:r>
            <w:rPr>
              <w:webHidden/>
              <w:rStyle w:val="czeindeksu"/>
            </w:rPr>
            <w:instrText xml:space="preserve"> TOC \z \o "1-3" \u \h</w:instrText>
          </w:r>
          <w:r>
            <w:rPr>
              <w:webHidden/>
              <w:rStyle w:val="czeindeksu"/>
            </w:rPr>
            <w:fldChar w:fldCharType="separate"/>
          </w:r>
          <w:hyperlink w:anchor="_Toc216991149">
            <w:r>
              <w:rPr>
                <w:webHidden/>
                <w:rStyle w:val="czeindeksu"/>
              </w:rPr>
              <w:t>Wprowadzenie</w:t>
            </w:r>
            <w:r>
              <w:rPr>
                <w:webHidden/>
              </w:rPr>
              <w:fldChar w:fldCharType="begin"/>
            </w:r>
            <w:r>
              <w:rPr>
                <w:webHidden/>
              </w:rPr>
              <w:instrText xml:space="preserve">PAGEREF _Toc216991149 \h</w:instrText>
            </w:r>
            <w:r>
              <w:rPr>
                <w:webHidden/>
              </w:rPr>
              <w:fldChar w:fldCharType="separate"/>
            </w:r>
            <w:r>
              <w:rPr>
                <w:rStyle w:val="czeindeksu"/>
                <w:vanish w:val="false"/>
              </w:rPr>
              <w:tab/>
              <w:t>5</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150">
            <w:r>
              <w:rPr>
                <w:webHidden/>
                <w:rStyle w:val="czeindeksu"/>
              </w:rPr>
              <w:t>1. ZASADY PRAC NAD PROGRAMEM</w:t>
            </w:r>
            <w:r>
              <w:rPr>
                <w:webHidden/>
              </w:rPr>
              <w:fldChar w:fldCharType="begin"/>
            </w:r>
            <w:r>
              <w:rPr>
                <w:webHidden/>
              </w:rPr>
              <w:instrText xml:space="preserve">PAGEREF _Toc216991150 \h</w:instrText>
            </w:r>
            <w:r>
              <w:rPr>
                <w:webHidden/>
              </w:rPr>
              <w:fldChar w:fldCharType="separate"/>
            </w:r>
            <w:r>
              <w:rPr>
                <w:rStyle w:val="czeindeksu"/>
                <w:vanish w:val="false"/>
              </w:rPr>
              <w:tab/>
              <w:t>7</w:t>
            </w:r>
            <w:r>
              <w:rPr>
                <w:webHidden/>
              </w:rPr>
              <w:fldChar w:fldCharType="end"/>
            </w:r>
          </w:hyperlink>
        </w:p>
        <w:p>
          <w:pPr>
            <w:pStyle w:val="TOC2"/>
            <w:rPr>
              <w:rFonts w:eastAsia="" w:eastAsiaTheme="minorEastAsia"/>
              <w:sz w:val="24"/>
              <w:szCs w:val="24"/>
              <w:lang w:eastAsia="pl-PL"/>
            </w:rPr>
          </w:pPr>
          <w:hyperlink w:anchor="_Toc216991151">
            <w:r>
              <w:rPr>
                <w:webHidden/>
                <w:rStyle w:val="czeindeksu"/>
              </w:rPr>
              <w:t>1.1. Logika prac nad programem</w:t>
            </w:r>
            <w:r>
              <w:rPr>
                <w:webHidden/>
              </w:rPr>
              <w:fldChar w:fldCharType="begin"/>
            </w:r>
            <w:r>
              <w:rPr>
                <w:webHidden/>
              </w:rPr>
              <w:instrText xml:space="preserve">PAGEREF _Toc216991151 \h</w:instrText>
            </w:r>
            <w:r>
              <w:rPr>
                <w:webHidden/>
              </w:rPr>
              <w:fldChar w:fldCharType="separate"/>
            </w:r>
            <w:r>
              <w:rPr>
                <w:rStyle w:val="czeindeksu"/>
                <w:vanish w:val="false"/>
              </w:rPr>
              <w:tab/>
              <w:t>7</w:t>
            </w:r>
            <w:r>
              <w:rPr>
                <w:webHidden/>
              </w:rPr>
              <w:fldChar w:fldCharType="end"/>
            </w:r>
          </w:hyperlink>
        </w:p>
        <w:p>
          <w:pPr>
            <w:pStyle w:val="TOC2"/>
            <w:rPr>
              <w:rFonts w:eastAsia="" w:eastAsiaTheme="minorEastAsia"/>
              <w:sz w:val="24"/>
              <w:szCs w:val="24"/>
              <w:lang w:eastAsia="pl-PL"/>
            </w:rPr>
          </w:pPr>
          <w:hyperlink w:anchor="_Toc216991152">
            <w:r>
              <w:rPr>
                <w:webHidden/>
                <w:rStyle w:val="czeindeksu"/>
              </w:rPr>
              <w:t>1.2. Ocena dotychczasowych efektów procesu rewitalizacji</w:t>
            </w:r>
            <w:r>
              <w:rPr>
                <w:webHidden/>
              </w:rPr>
              <w:fldChar w:fldCharType="begin"/>
            </w:r>
            <w:r>
              <w:rPr>
                <w:webHidden/>
              </w:rPr>
              <w:instrText xml:space="preserve">PAGEREF _Toc216991152 \h</w:instrText>
            </w:r>
            <w:r>
              <w:rPr>
                <w:webHidden/>
              </w:rPr>
              <w:fldChar w:fldCharType="separate"/>
            </w:r>
            <w:r>
              <w:rPr>
                <w:rStyle w:val="czeindeksu"/>
                <w:vanish w:val="false"/>
              </w:rPr>
              <w:tab/>
              <w:t>8</w:t>
            </w:r>
            <w:r>
              <w:rPr>
                <w:webHidden/>
              </w:rPr>
              <w:fldChar w:fldCharType="end"/>
            </w:r>
          </w:hyperlink>
        </w:p>
        <w:p>
          <w:pPr>
            <w:pStyle w:val="TOC2"/>
            <w:rPr>
              <w:rFonts w:eastAsia="" w:eastAsiaTheme="minorEastAsia"/>
              <w:sz w:val="24"/>
              <w:szCs w:val="24"/>
              <w:lang w:eastAsia="pl-PL"/>
            </w:rPr>
          </w:pPr>
          <w:hyperlink w:anchor="_Toc216991153">
            <w:r>
              <w:rPr>
                <w:webHidden/>
                <w:rStyle w:val="czeindeksu"/>
              </w:rPr>
              <w:t>1.3. Opis procesu zaangażowania partnerów społeczno-gospodarczych i interesariuszy rewitalizacji na etapie prac nad programem</w:t>
            </w:r>
            <w:r>
              <w:rPr>
                <w:webHidden/>
              </w:rPr>
              <w:fldChar w:fldCharType="begin"/>
            </w:r>
            <w:r>
              <w:rPr>
                <w:webHidden/>
              </w:rPr>
              <w:instrText xml:space="preserve">PAGEREF _Toc216991153 \h</w:instrText>
            </w:r>
            <w:r>
              <w:rPr>
                <w:webHidden/>
              </w:rPr>
              <w:fldChar w:fldCharType="separate"/>
            </w:r>
            <w:r>
              <w:rPr>
                <w:rStyle w:val="czeindeksu"/>
                <w:vanish w:val="false"/>
              </w:rPr>
              <w:tab/>
              <w:t>9</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154">
            <w:r>
              <w:rPr>
                <w:webHidden/>
                <w:rStyle w:val="czeindeksu"/>
              </w:rPr>
              <w:t>2. SZCZEGÓŁOWA DIAGNOZA OBSZARU REWITALIZACJI</w:t>
            </w:r>
            <w:r>
              <w:rPr>
                <w:webHidden/>
              </w:rPr>
              <w:fldChar w:fldCharType="begin"/>
            </w:r>
            <w:r>
              <w:rPr>
                <w:webHidden/>
              </w:rPr>
              <w:instrText xml:space="preserve">PAGEREF _Toc216991154 \h</w:instrText>
            </w:r>
            <w:r>
              <w:rPr>
                <w:webHidden/>
              </w:rPr>
              <w:fldChar w:fldCharType="separate"/>
            </w:r>
            <w:r>
              <w:rPr>
                <w:rStyle w:val="czeindeksu"/>
                <w:vanish w:val="false"/>
              </w:rPr>
              <w:tab/>
              <w:t>11</w:t>
            </w:r>
            <w:r>
              <w:rPr>
                <w:webHidden/>
              </w:rPr>
              <w:fldChar w:fldCharType="end"/>
            </w:r>
          </w:hyperlink>
        </w:p>
        <w:p>
          <w:pPr>
            <w:pStyle w:val="TOC2"/>
            <w:rPr>
              <w:rFonts w:eastAsia="" w:eastAsiaTheme="minorEastAsia"/>
              <w:sz w:val="24"/>
              <w:szCs w:val="24"/>
              <w:lang w:eastAsia="pl-PL"/>
            </w:rPr>
          </w:pPr>
          <w:hyperlink w:anchor="_Toc216991155">
            <w:r>
              <w:rPr>
                <w:webHidden/>
                <w:rStyle w:val="czeindeksu"/>
              </w:rPr>
              <w:t>2.1. Ogólna charakterystyka obszaru rewitalizacji</w:t>
            </w:r>
            <w:r>
              <w:rPr>
                <w:webHidden/>
              </w:rPr>
              <w:fldChar w:fldCharType="begin"/>
            </w:r>
            <w:r>
              <w:rPr>
                <w:webHidden/>
              </w:rPr>
              <w:instrText xml:space="preserve">PAGEREF _Toc216991155 \h</w:instrText>
            </w:r>
            <w:r>
              <w:rPr>
                <w:webHidden/>
              </w:rPr>
              <w:fldChar w:fldCharType="separate"/>
            </w:r>
            <w:r>
              <w:rPr>
                <w:rStyle w:val="czeindeksu"/>
                <w:vanish w:val="false"/>
              </w:rPr>
              <w:tab/>
              <w:t>11</w:t>
            </w:r>
            <w:r>
              <w:rPr>
                <w:webHidden/>
              </w:rPr>
              <w:fldChar w:fldCharType="end"/>
            </w:r>
          </w:hyperlink>
        </w:p>
        <w:p>
          <w:pPr>
            <w:pStyle w:val="TOC2"/>
            <w:rPr>
              <w:rFonts w:eastAsia="" w:eastAsiaTheme="minorEastAsia"/>
              <w:sz w:val="24"/>
              <w:szCs w:val="24"/>
              <w:lang w:eastAsia="pl-PL"/>
            </w:rPr>
          </w:pPr>
          <w:hyperlink w:anchor="_Toc216991156">
            <w:r>
              <w:rPr>
                <w:webHidden/>
                <w:rStyle w:val="czeindeksu"/>
              </w:rPr>
              <w:t>2.2. Diagnoza zjawisk społecznych</w:t>
            </w:r>
            <w:r>
              <w:rPr>
                <w:webHidden/>
              </w:rPr>
              <w:fldChar w:fldCharType="begin"/>
            </w:r>
            <w:r>
              <w:rPr>
                <w:webHidden/>
              </w:rPr>
              <w:instrText xml:space="preserve">PAGEREF _Toc216991156 \h</w:instrText>
            </w:r>
            <w:r>
              <w:rPr>
                <w:webHidden/>
              </w:rPr>
              <w:fldChar w:fldCharType="separate"/>
            </w:r>
            <w:r>
              <w:rPr>
                <w:rStyle w:val="czeindeksu"/>
                <w:vanish w:val="false"/>
              </w:rPr>
              <w:tab/>
              <w:t>15</w:t>
            </w:r>
            <w:r>
              <w:rPr>
                <w:webHidden/>
              </w:rPr>
              <w:fldChar w:fldCharType="end"/>
            </w:r>
          </w:hyperlink>
        </w:p>
        <w:p>
          <w:pPr>
            <w:pStyle w:val="TOC2"/>
            <w:rPr>
              <w:rFonts w:eastAsia="" w:eastAsiaTheme="minorEastAsia"/>
              <w:sz w:val="24"/>
              <w:szCs w:val="24"/>
              <w:lang w:eastAsia="pl-PL"/>
            </w:rPr>
          </w:pPr>
          <w:hyperlink w:anchor="_Toc216991157">
            <w:r>
              <w:rPr>
                <w:webHidden/>
                <w:rStyle w:val="czeindeksu"/>
              </w:rPr>
              <w:t>2.3. Diagnoza zjawisk przestrzenno-funkcjonalnych</w:t>
            </w:r>
            <w:r>
              <w:rPr>
                <w:webHidden/>
              </w:rPr>
              <w:fldChar w:fldCharType="begin"/>
            </w:r>
            <w:r>
              <w:rPr>
                <w:webHidden/>
              </w:rPr>
              <w:instrText xml:space="preserve">PAGEREF _Toc216991157 \h</w:instrText>
            </w:r>
            <w:r>
              <w:rPr>
                <w:webHidden/>
              </w:rPr>
              <w:fldChar w:fldCharType="separate"/>
            </w:r>
            <w:r>
              <w:rPr>
                <w:rStyle w:val="czeindeksu"/>
                <w:vanish w:val="false"/>
              </w:rPr>
              <w:tab/>
              <w:t>24</w:t>
            </w:r>
            <w:r>
              <w:rPr>
                <w:webHidden/>
              </w:rPr>
              <w:fldChar w:fldCharType="end"/>
            </w:r>
          </w:hyperlink>
        </w:p>
        <w:p>
          <w:pPr>
            <w:pStyle w:val="TOC2"/>
            <w:rPr>
              <w:rFonts w:eastAsia="" w:eastAsiaTheme="minorEastAsia"/>
              <w:sz w:val="24"/>
              <w:szCs w:val="24"/>
              <w:lang w:eastAsia="pl-PL"/>
            </w:rPr>
          </w:pPr>
          <w:hyperlink w:anchor="_Toc216991158">
            <w:r>
              <w:rPr>
                <w:webHidden/>
                <w:rStyle w:val="czeindeksu"/>
              </w:rPr>
              <w:t>2.4. Diagnoza zjawisk gospodarczych</w:t>
            </w:r>
            <w:r>
              <w:rPr>
                <w:webHidden/>
              </w:rPr>
              <w:fldChar w:fldCharType="begin"/>
            </w:r>
            <w:r>
              <w:rPr>
                <w:webHidden/>
              </w:rPr>
              <w:instrText xml:space="preserve">PAGEREF _Toc216991158 \h</w:instrText>
            </w:r>
            <w:r>
              <w:rPr>
                <w:webHidden/>
              </w:rPr>
              <w:fldChar w:fldCharType="separate"/>
            </w:r>
            <w:r>
              <w:rPr>
                <w:rStyle w:val="czeindeksu"/>
                <w:vanish w:val="false"/>
              </w:rPr>
              <w:tab/>
              <w:t>32</w:t>
            </w:r>
            <w:r>
              <w:rPr>
                <w:webHidden/>
              </w:rPr>
              <w:fldChar w:fldCharType="end"/>
            </w:r>
          </w:hyperlink>
        </w:p>
        <w:p>
          <w:pPr>
            <w:pStyle w:val="TOC2"/>
            <w:rPr>
              <w:rFonts w:eastAsia="" w:eastAsiaTheme="minorEastAsia"/>
              <w:sz w:val="24"/>
              <w:szCs w:val="24"/>
              <w:lang w:eastAsia="pl-PL"/>
            </w:rPr>
          </w:pPr>
          <w:hyperlink w:anchor="_Toc216991159">
            <w:r>
              <w:rPr>
                <w:webHidden/>
                <w:rStyle w:val="czeindeksu"/>
              </w:rPr>
              <w:t>2.5. Diagnoza zjawisk środowiskowych</w:t>
            </w:r>
            <w:r>
              <w:rPr>
                <w:webHidden/>
              </w:rPr>
              <w:fldChar w:fldCharType="begin"/>
            </w:r>
            <w:r>
              <w:rPr>
                <w:webHidden/>
              </w:rPr>
              <w:instrText xml:space="preserve">PAGEREF _Toc216991159 \h</w:instrText>
            </w:r>
            <w:r>
              <w:rPr>
                <w:webHidden/>
              </w:rPr>
              <w:fldChar w:fldCharType="separate"/>
            </w:r>
            <w:r>
              <w:rPr>
                <w:rStyle w:val="czeindeksu"/>
                <w:vanish w:val="false"/>
              </w:rPr>
              <w:tab/>
              <w:t>38</w:t>
            </w:r>
            <w:r>
              <w:rPr>
                <w:webHidden/>
              </w:rPr>
              <w:fldChar w:fldCharType="end"/>
            </w:r>
          </w:hyperlink>
        </w:p>
        <w:p>
          <w:pPr>
            <w:pStyle w:val="TOC2"/>
            <w:rPr>
              <w:rFonts w:eastAsia="" w:eastAsiaTheme="minorEastAsia"/>
              <w:sz w:val="24"/>
              <w:szCs w:val="24"/>
              <w:lang w:eastAsia="pl-PL"/>
            </w:rPr>
          </w:pPr>
          <w:hyperlink w:anchor="_Toc216991160">
            <w:r>
              <w:rPr>
                <w:webHidden/>
                <w:rStyle w:val="czeindeksu"/>
              </w:rPr>
              <w:t>2.6. Diagnoza zjawisk technicznych</w:t>
            </w:r>
            <w:r>
              <w:rPr>
                <w:webHidden/>
              </w:rPr>
              <w:fldChar w:fldCharType="begin"/>
            </w:r>
            <w:r>
              <w:rPr>
                <w:webHidden/>
              </w:rPr>
              <w:instrText xml:space="preserve">PAGEREF _Toc216991160 \h</w:instrText>
            </w:r>
            <w:r>
              <w:rPr>
                <w:webHidden/>
              </w:rPr>
              <w:fldChar w:fldCharType="separate"/>
            </w:r>
            <w:r>
              <w:rPr>
                <w:rStyle w:val="czeindeksu"/>
                <w:vanish w:val="false"/>
              </w:rPr>
              <w:tab/>
              <w:t>41</w:t>
            </w:r>
            <w:r>
              <w:rPr>
                <w:webHidden/>
              </w:rPr>
              <w:fldChar w:fldCharType="end"/>
            </w:r>
          </w:hyperlink>
        </w:p>
        <w:p>
          <w:pPr>
            <w:pStyle w:val="TOC2"/>
            <w:rPr>
              <w:rFonts w:eastAsia="" w:eastAsiaTheme="minorEastAsia"/>
              <w:sz w:val="24"/>
              <w:szCs w:val="24"/>
              <w:lang w:eastAsia="pl-PL"/>
            </w:rPr>
          </w:pPr>
          <w:hyperlink w:anchor="_Toc216991161">
            <w:r>
              <w:rPr>
                <w:webHidden/>
                <w:rStyle w:val="czeindeksu"/>
              </w:rPr>
              <w:t>2.7. Synteza diagnozy obszaru rewitalizacji wraz z analizą problemów, potrzeb i potencjałów rozwojowych, w tym wzajemnych powiązań gospodarczych, społecznych i środowiskowych.</w:t>
            </w:r>
            <w:r>
              <w:rPr>
                <w:webHidden/>
              </w:rPr>
              <w:fldChar w:fldCharType="begin"/>
            </w:r>
            <w:r>
              <w:rPr>
                <w:webHidden/>
              </w:rPr>
              <w:instrText xml:space="preserve">PAGEREF _Toc216991161 \h</w:instrText>
            </w:r>
            <w:r>
              <w:rPr>
                <w:webHidden/>
              </w:rPr>
              <w:fldChar w:fldCharType="separate"/>
            </w:r>
            <w:r>
              <w:rPr>
                <w:rStyle w:val="czeindeksu"/>
                <w:vanish w:val="false"/>
              </w:rPr>
              <w:tab/>
              <w:t>46</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162">
            <w:r>
              <w:rPr>
                <w:webHidden/>
                <w:rStyle w:val="czeindeksu"/>
              </w:rPr>
              <w:t>3. SPOSÓB REALIZACJI DOKUMENTÓW STRATEGICZNYCH GMINY</w:t>
            </w:r>
            <w:r>
              <w:rPr>
                <w:webHidden/>
              </w:rPr>
              <w:fldChar w:fldCharType="begin"/>
            </w:r>
            <w:r>
              <w:rPr>
                <w:webHidden/>
              </w:rPr>
              <w:instrText xml:space="preserve">PAGEREF _Toc216991162 \h</w:instrText>
            </w:r>
            <w:r>
              <w:rPr>
                <w:webHidden/>
              </w:rPr>
              <w:fldChar w:fldCharType="separate"/>
            </w:r>
            <w:r>
              <w:rPr>
                <w:rStyle w:val="czeindeksu"/>
                <w:vanish w:val="false"/>
              </w:rPr>
              <w:tab/>
              <w:t>48</w:t>
            </w:r>
            <w:r>
              <w:rPr>
                <w:webHidden/>
              </w:rPr>
              <w:fldChar w:fldCharType="end"/>
            </w:r>
          </w:hyperlink>
        </w:p>
        <w:p>
          <w:pPr>
            <w:pStyle w:val="TOC2"/>
            <w:rPr>
              <w:rFonts w:eastAsia="" w:eastAsiaTheme="minorEastAsia"/>
              <w:sz w:val="24"/>
              <w:szCs w:val="24"/>
              <w:lang w:eastAsia="pl-PL"/>
            </w:rPr>
          </w:pPr>
          <w:hyperlink w:anchor="_Toc216991163">
            <w:r>
              <w:rPr>
                <w:webHidden/>
                <w:rStyle w:val="czeindeksu"/>
              </w:rPr>
              <w:t>3.1. Strategia Rozwoju Gminy Nowe Miasteczko</w:t>
            </w:r>
            <w:r>
              <w:rPr>
                <w:webHidden/>
              </w:rPr>
              <w:fldChar w:fldCharType="begin"/>
            </w:r>
            <w:r>
              <w:rPr>
                <w:webHidden/>
              </w:rPr>
              <w:instrText xml:space="preserve">PAGEREF _Toc216991163 \h</w:instrText>
            </w:r>
            <w:r>
              <w:rPr>
                <w:webHidden/>
              </w:rPr>
              <w:fldChar w:fldCharType="separate"/>
            </w:r>
            <w:r>
              <w:rPr>
                <w:rStyle w:val="czeindeksu"/>
                <w:vanish w:val="false"/>
              </w:rPr>
              <w:tab/>
              <w:t>48</w:t>
            </w:r>
            <w:r>
              <w:rPr>
                <w:webHidden/>
              </w:rPr>
              <w:fldChar w:fldCharType="end"/>
            </w:r>
          </w:hyperlink>
        </w:p>
        <w:p>
          <w:pPr>
            <w:pStyle w:val="TOC2"/>
            <w:rPr>
              <w:rFonts w:eastAsia="" w:eastAsiaTheme="minorEastAsia"/>
              <w:sz w:val="24"/>
              <w:szCs w:val="24"/>
              <w:lang w:eastAsia="pl-PL"/>
            </w:rPr>
          </w:pPr>
          <w:hyperlink w:anchor="_Toc216991164">
            <w:r>
              <w:rPr>
                <w:webHidden/>
                <w:rStyle w:val="czeindeksu"/>
              </w:rPr>
              <w:t>3.2. Lubuska 9</w:t>
            </w:r>
            <w:r>
              <w:rPr>
                <w:webHidden/>
              </w:rPr>
              <w:fldChar w:fldCharType="begin"/>
            </w:r>
            <w:r>
              <w:rPr>
                <w:webHidden/>
              </w:rPr>
              <w:instrText xml:space="preserve">PAGEREF _Toc216991164 \h</w:instrText>
            </w:r>
            <w:r>
              <w:rPr>
                <w:webHidden/>
              </w:rPr>
              <w:fldChar w:fldCharType="separate"/>
            </w:r>
            <w:r>
              <w:rPr>
                <w:rStyle w:val="czeindeksu"/>
                <w:vanish w:val="false"/>
              </w:rPr>
              <w:tab/>
              <w:t>49</w:t>
            </w:r>
            <w:r>
              <w:rPr>
                <w:webHidden/>
              </w:rPr>
              <w:fldChar w:fldCharType="end"/>
            </w:r>
          </w:hyperlink>
        </w:p>
        <w:p>
          <w:pPr>
            <w:pStyle w:val="TOC2"/>
            <w:rPr>
              <w:rFonts w:eastAsia="" w:eastAsiaTheme="minorEastAsia"/>
              <w:sz w:val="24"/>
              <w:szCs w:val="24"/>
              <w:lang w:eastAsia="pl-PL"/>
            </w:rPr>
          </w:pPr>
          <w:hyperlink w:anchor="_Toc216991165">
            <w:r>
              <w:rPr>
                <w:webHidden/>
                <w:rStyle w:val="czeindeksu"/>
              </w:rPr>
              <w:t>3.3. Strategia Rozwiązywania Problemów Społecznych w Gminie Nowe Miasteczko na lata 2021-2026</w:t>
            </w:r>
            <w:r>
              <w:rPr>
                <w:webHidden/>
              </w:rPr>
              <w:fldChar w:fldCharType="begin"/>
            </w:r>
            <w:r>
              <w:rPr>
                <w:webHidden/>
              </w:rPr>
              <w:instrText xml:space="preserve">PAGEREF _Toc216991165 \h</w:instrText>
            </w:r>
            <w:r>
              <w:rPr>
                <w:webHidden/>
              </w:rPr>
              <w:fldChar w:fldCharType="separate"/>
            </w:r>
            <w:r>
              <w:rPr>
                <w:rStyle w:val="czeindeksu"/>
                <w:vanish w:val="false"/>
              </w:rPr>
              <w:tab/>
              <w:t>49</w:t>
            </w:r>
            <w:r>
              <w:rPr>
                <w:webHidden/>
              </w:rPr>
              <w:fldChar w:fldCharType="end"/>
            </w:r>
          </w:hyperlink>
        </w:p>
        <w:p>
          <w:pPr>
            <w:pStyle w:val="TOC2"/>
            <w:rPr>
              <w:rFonts w:eastAsia="" w:eastAsiaTheme="minorEastAsia"/>
              <w:sz w:val="24"/>
              <w:szCs w:val="24"/>
              <w:lang w:eastAsia="pl-PL"/>
            </w:rPr>
          </w:pPr>
          <w:hyperlink w:anchor="_Toc216991166">
            <w:r>
              <w:rPr>
                <w:webHidden/>
                <w:rStyle w:val="czeindeksu"/>
              </w:rPr>
              <w:t>3.4. Gminny Program Wspierania Rodziny na lata 2024-2026 w Gminie Nowe Miasteczko</w:t>
            </w:r>
            <w:r>
              <w:rPr>
                <w:webHidden/>
              </w:rPr>
              <w:fldChar w:fldCharType="begin"/>
            </w:r>
            <w:r>
              <w:rPr>
                <w:webHidden/>
              </w:rPr>
              <w:instrText xml:space="preserve">PAGEREF _Toc216991166 \h</w:instrText>
            </w:r>
            <w:r>
              <w:rPr>
                <w:webHidden/>
              </w:rPr>
              <w:fldChar w:fldCharType="separate"/>
            </w:r>
            <w:r>
              <w:rPr>
                <w:rStyle w:val="czeindeksu"/>
                <w:vanish w:val="false"/>
              </w:rPr>
              <w:tab/>
              <w:t>50</w:t>
            </w:r>
            <w:r>
              <w:rPr>
                <w:webHidden/>
              </w:rPr>
              <w:fldChar w:fldCharType="end"/>
            </w:r>
          </w:hyperlink>
        </w:p>
        <w:p>
          <w:pPr>
            <w:pStyle w:val="TOC2"/>
            <w:rPr>
              <w:rFonts w:eastAsia="" w:eastAsiaTheme="minorEastAsia"/>
              <w:sz w:val="24"/>
              <w:szCs w:val="24"/>
              <w:lang w:eastAsia="pl-PL"/>
            </w:rPr>
          </w:pPr>
          <w:hyperlink w:anchor="_Toc216991167">
            <w:r>
              <w:rPr>
                <w:webHidden/>
                <w:rStyle w:val="czeindeksu"/>
              </w:rPr>
              <w:t>3.5. Roczne programy współpracy z organizacjami pozarządowymi</w:t>
            </w:r>
            <w:r>
              <w:rPr>
                <w:webHidden/>
              </w:rPr>
              <w:fldChar w:fldCharType="begin"/>
            </w:r>
            <w:r>
              <w:rPr>
                <w:webHidden/>
              </w:rPr>
              <w:instrText xml:space="preserve">PAGEREF _Toc216991167 \h</w:instrText>
            </w:r>
            <w:r>
              <w:rPr>
                <w:webHidden/>
              </w:rPr>
              <w:fldChar w:fldCharType="separate"/>
            </w:r>
            <w:r>
              <w:rPr>
                <w:rStyle w:val="czeindeksu"/>
                <w:vanish w:val="false"/>
              </w:rPr>
              <w:tab/>
              <w:t>50</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168">
            <w:r>
              <w:rPr>
                <w:webHidden/>
                <w:rStyle w:val="czeindeksu"/>
              </w:rPr>
              <w:t>4. OPIS WIZJI STANU OBSZARU REWITALIZACJI PO PRZEPROWADZENIU DZIAŁAŃ W ZAKRESIE REWITALIZACJI</w:t>
            </w:r>
            <w:r>
              <w:rPr>
                <w:webHidden/>
              </w:rPr>
              <w:fldChar w:fldCharType="begin"/>
            </w:r>
            <w:r>
              <w:rPr>
                <w:webHidden/>
              </w:rPr>
              <w:instrText xml:space="preserve">PAGEREF _Toc216991168 \h</w:instrText>
            </w:r>
            <w:r>
              <w:rPr>
                <w:webHidden/>
              </w:rPr>
              <w:fldChar w:fldCharType="separate"/>
            </w:r>
            <w:r>
              <w:rPr>
                <w:rStyle w:val="czeindeksu"/>
                <w:vanish w:val="false"/>
              </w:rPr>
              <w:tab/>
              <w:t>51</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169">
            <w:r>
              <w:rPr>
                <w:webHidden/>
                <w:rStyle w:val="czeindeksu"/>
              </w:rPr>
              <w:t>5. CELE REWITALIZACJI ORAZ ODPOWIADAJĄCE IM KIERUNKI DZIAŁAŃ SŁUŻĄCYCH ELIMINACJI LUB OGRANICZENIU NEGATYWNYCH ZJAWISK</w:t>
            </w:r>
            <w:r>
              <w:rPr>
                <w:webHidden/>
              </w:rPr>
              <w:fldChar w:fldCharType="begin"/>
            </w:r>
            <w:r>
              <w:rPr>
                <w:webHidden/>
              </w:rPr>
              <w:instrText xml:space="preserve">PAGEREF _Toc216991169 \h</w:instrText>
            </w:r>
            <w:r>
              <w:rPr>
                <w:webHidden/>
              </w:rPr>
              <w:fldChar w:fldCharType="separate"/>
            </w:r>
            <w:r>
              <w:rPr>
                <w:rStyle w:val="czeindeksu"/>
                <w:vanish w:val="false"/>
              </w:rPr>
              <w:tab/>
              <w:t>53</w:t>
            </w:r>
            <w:r>
              <w:rPr>
                <w:webHidden/>
              </w:rPr>
              <w:fldChar w:fldCharType="end"/>
            </w:r>
          </w:hyperlink>
        </w:p>
        <w:p>
          <w:pPr>
            <w:pStyle w:val="TOC2"/>
            <w:rPr>
              <w:rFonts w:eastAsia="" w:eastAsiaTheme="minorEastAsia"/>
              <w:sz w:val="24"/>
              <w:szCs w:val="24"/>
              <w:lang w:eastAsia="pl-PL"/>
            </w:rPr>
          </w:pPr>
          <w:hyperlink w:anchor="_Toc216991170">
            <w:r>
              <w:rPr>
                <w:webHidden/>
                <w:rStyle w:val="czeindeksu"/>
              </w:rPr>
              <w:t>5.1 Cele rewitalizacji</w:t>
            </w:r>
            <w:r>
              <w:rPr>
                <w:webHidden/>
              </w:rPr>
              <w:fldChar w:fldCharType="begin"/>
            </w:r>
            <w:r>
              <w:rPr>
                <w:webHidden/>
              </w:rPr>
              <w:instrText xml:space="preserve">PAGEREF _Toc216991170 \h</w:instrText>
            </w:r>
            <w:r>
              <w:rPr>
                <w:webHidden/>
              </w:rPr>
              <w:fldChar w:fldCharType="separate"/>
            </w:r>
            <w:r>
              <w:rPr>
                <w:rStyle w:val="czeindeksu"/>
                <w:vanish w:val="false"/>
              </w:rPr>
              <w:tab/>
              <w:t>53</w:t>
            </w:r>
            <w:r>
              <w:rPr>
                <w:webHidden/>
              </w:rPr>
              <w:fldChar w:fldCharType="end"/>
            </w:r>
          </w:hyperlink>
        </w:p>
        <w:p>
          <w:pPr>
            <w:pStyle w:val="TOC2"/>
            <w:rPr>
              <w:rFonts w:eastAsia="" w:eastAsiaTheme="minorEastAsia"/>
              <w:sz w:val="24"/>
              <w:szCs w:val="24"/>
              <w:lang w:eastAsia="pl-PL"/>
            </w:rPr>
          </w:pPr>
          <w:hyperlink w:anchor="_Toc216991171">
            <w:r>
              <w:rPr>
                <w:webHidden/>
                <w:rStyle w:val="czeindeksu"/>
              </w:rPr>
              <w:t>5.2 Kierunki działań</w:t>
            </w:r>
            <w:r>
              <w:rPr>
                <w:webHidden/>
              </w:rPr>
              <w:fldChar w:fldCharType="begin"/>
            </w:r>
            <w:r>
              <w:rPr>
                <w:webHidden/>
              </w:rPr>
              <w:instrText xml:space="preserve">PAGEREF _Toc216991171 \h</w:instrText>
            </w:r>
            <w:r>
              <w:rPr>
                <w:webHidden/>
              </w:rPr>
              <w:fldChar w:fldCharType="separate"/>
            </w:r>
            <w:r>
              <w:rPr>
                <w:rStyle w:val="czeindeksu"/>
                <w:vanish w:val="false"/>
              </w:rPr>
              <w:tab/>
              <w:t>53</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172">
            <w:r>
              <w:rPr>
                <w:webHidden/>
                <w:rStyle w:val="czeindeksu"/>
              </w:rPr>
              <w:t>6. PRZEDSIĘWZIĘCIA REWITALIZACYJNE</w:t>
            </w:r>
            <w:r>
              <w:rPr>
                <w:webHidden/>
              </w:rPr>
              <w:fldChar w:fldCharType="begin"/>
            </w:r>
            <w:r>
              <w:rPr>
                <w:webHidden/>
              </w:rPr>
              <w:instrText xml:space="preserve">PAGEREF _Toc216991172 \h</w:instrText>
            </w:r>
            <w:r>
              <w:rPr>
                <w:webHidden/>
              </w:rPr>
              <w:fldChar w:fldCharType="separate"/>
            </w:r>
            <w:r>
              <w:rPr>
                <w:rStyle w:val="czeindeksu"/>
                <w:vanish w:val="false"/>
              </w:rPr>
              <w:tab/>
              <w:t>56</w:t>
            </w:r>
            <w:r>
              <w:rPr>
                <w:webHidden/>
              </w:rPr>
              <w:fldChar w:fldCharType="end"/>
            </w:r>
          </w:hyperlink>
        </w:p>
        <w:p>
          <w:pPr>
            <w:pStyle w:val="TOC2"/>
            <w:rPr>
              <w:rFonts w:eastAsia="" w:eastAsiaTheme="minorEastAsia"/>
              <w:sz w:val="24"/>
              <w:szCs w:val="24"/>
              <w:lang w:eastAsia="pl-PL"/>
            </w:rPr>
          </w:pPr>
          <w:hyperlink w:anchor="_Toc216991173">
            <w:r>
              <w:rPr>
                <w:webHidden/>
                <w:rStyle w:val="czeindeksu"/>
              </w:rPr>
              <w:t>6.1. Podstawowe przedsięwzięcia rewitalizacyjne</w:t>
            </w:r>
            <w:r>
              <w:rPr>
                <w:webHidden/>
              </w:rPr>
              <w:fldChar w:fldCharType="begin"/>
            </w:r>
            <w:r>
              <w:rPr>
                <w:webHidden/>
              </w:rPr>
              <w:instrText xml:space="preserve">PAGEREF _Toc216991173 \h</w:instrText>
            </w:r>
            <w:r>
              <w:rPr>
                <w:webHidden/>
              </w:rPr>
              <w:fldChar w:fldCharType="separate"/>
            </w:r>
            <w:r>
              <w:rPr>
                <w:rStyle w:val="czeindeksu"/>
                <w:vanish w:val="false"/>
              </w:rPr>
              <w:tab/>
              <w:t>56</w:t>
            </w:r>
            <w:r>
              <w:rPr>
                <w:webHidden/>
              </w:rPr>
              <w:fldChar w:fldCharType="end"/>
            </w:r>
          </w:hyperlink>
        </w:p>
        <w:p>
          <w:pPr>
            <w:pStyle w:val="TOC2"/>
            <w:rPr>
              <w:rFonts w:eastAsia="" w:eastAsiaTheme="minorEastAsia"/>
              <w:sz w:val="24"/>
              <w:szCs w:val="24"/>
              <w:lang w:eastAsia="pl-PL"/>
            </w:rPr>
          </w:pPr>
          <w:hyperlink w:anchor="_Toc216991174">
            <w:r>
              <w:rPr>
                <w:webHidden/>
                <w:rStyle w:val="czeindeksu"/>
              </w:rPr>
              <w:t>6.2. Charakterystyka pozostałych dopuszczalnych przedsięwzięć rewitalizacyjnych</w:t>
            </w:r>
            <w:r>
              <w:rPr>
                <w:webHidden/>
              </w:rPr>
              <w:fldChar w:fldCharType="begin"/>
            </w:r>
            <w:r>
              <w:rPr>
                <w:webHidden/>
              </w:rPr>
              <w:instrText xml:space="preserve">PAGEREF _Toc216991174 \h</w:instrText>
            </w:r>
            <w:r>
              <w:rPr>
                <w:webHidden/>
              </w:rPr>
              <w:fldChar w:fldCharType="separate"/>
            </w:r>
            <w:r>
              <w:rPr>
                <w:rStyle w:val="czeindeksu"/>
                <w:vanish w:val="false"/>
              </w:rPr>
              <w:tab/>
              <w:t>78</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175">
            <w:r>
              <w:rPr>
                <w:webHidden/>
                <w:rStyle w:val="czeindeksu"/>
              </w:rPr>
              <w:t>7. MECHANIZMY INTEGROWANIA DZIAŁAŃ ORAZ PRZEDSIĘWZIĘĆ REWITALIZACYJNYCH</w:t>
            </w:r>
            <w:r>
              <w:rPr>
                <w:webHidden/>
              </w:rPr>
              <w:fldChar w:fldCharType="begin"/>
            </w:r>
            <w:r>
              <w:rPr>
                <w:webHidden/>
              </w:rPr>
              <w:instrText xml:space="preserve">PAGEREF _Toc216991175 \h</w:instrText>
            </w:r>
            <w:r>
              <w:rPr>
                <w:webHidden/>
              </w:rPr>
              <w:fldChar w:fldCharType="separate"/>
            </w:r>
            <w:r>
              <w:rPr>
                <w:rStyle w:val="czeindeksu"/>
                <w:vanish w:val="false"/>
              </w:rPr>
              <w:tab/>
              <w:t>86</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176">
            <w:r>
              <w:rPr>
                <w:webHidden/>
                <w:rStyle w:val="czeindeksu"/>
              </w:rPr>
              <w:t>8. SZACUNKOWE RAMY FINANSOWE PROGRAMU</w:t>
            </w:r>
            <w:r>
              <w:rPr>
                <w:webHidden/>
              </w:rPr>
              <w:fldChar w:fldCharType="begin"/>
            </w:r>
            <w:r>
              <w:rPr>
                <w:webHidden/>
              </w:rPr>
              <w:instrText xml:space="preserve">PAGEREF _Toc216991176 \h</w:instrText>
            </w:r>
            <w:r>
              <w:rPr>
                <w:webHidden/>
              </w:rPr>
              <w:fldChar w:fldCharType="separate"/>
            </w:r>
            <w:r>
              <w:rPr>
                <w:rStyle w:val="czeindeksu"/>
                <w:vanish w:val="false"/>
              </w:rPr>
              <w:tab/>
              <w:t>87</w:t>
            </w:r>
            <w:r>
              <w:rPr>
                <w:webHidden/>
              </w:rPr>
              <w:fldChar w:fldCharType="end"/>
            </w:r>
          </w:hyperlink>
        </w:p>
        <w:p>
          <w:pPr>
            <w:pStyle w:val="TOC2"/>
            <w:rPr>
              <w:rFonts w:eastAsia="" w:eastAsiaTheme="minorEastAsia"/>
              <w:sz w:val="24"/>
              <w:szCs w:val="24"/>
              <w:lang w:eastAsia="pl-PL"/>
            </w:rPr>
          </w:pPr>
          <w:hyperlink w:anchor="_Toc216991177">
            <w:r>
              <w:rPr>
                <w:webHidden/>
                <w:rStyle w:val="czeindeksu"/>
              </w:rPr>
              <w:t>8.1. Ramy finansowe realizacji Programu</w:t>
            </w:r>
            <w:r>
              <w:rPr>
                <w:webHidden/>
              </w:rPr>
              <w:fldChar w:fldCharType="begin"/>
            </w:r>
            <w:r>
              <w:rPr>
                <w:webHidden/>
              </w:rPr>
              <w:instrText xml:space="preserve">PAGEREF _Toc216991177 \h</w:instrText>
            </w:r>
            <w:r>
              <w:rPr>
                <w:webHidden/>
              </w:rPr>
              <w:fldChar w:fldCharType="separate"/>
            </w:r>
            <w:r>
              <w:rPr>
                <w:rStyle w:val="czeindeksu"/>
                <w:vanish w:val="false"/>
              </w:rPr>
              <w:tab/>
              <w:t>87</w:t>
            </w:r>
            <w:r>
              <w:rPr>
                <w:webHidden/>
              </w:rPr>
              <w:fldChar w:fldCharType="end"/>
            </w:r>
          </w:hyperlink>
        </w:p>
        <w:p>
          <w:pPr>
            <w:pStyle w:val="TOC2"/>
            <w:rPr>
              <w:rFonts w:eastAsia="" w:eastAsiaTheme="minorEastAsia"/>
              <w:sz w:val="24"/>
              <w:szCs w:val="24"/>
              <w:lang w:eastAsia="pl-PL"/>
            </w:rPr>
          </w:pPr>
          <w:hyperlink w:anchor="_Toc216991178">
            <w:r>
              <w:rPr>
                <w:webHidden/>
                <w:rStyle w:val="czeindeksu"/>
              </w:rPr>
              <w:t>8.2. Potencjalne źródła finansowania programu</w:t>
            </w:r>
            <w:r>
              <w:rPr>
                <w:webHidden/>
              </w:rPr>
              <w:fldChar w:fldCharType="begin"/>
            </w:r>
            <w:r>
              <w:rPr>
                <w:webHidden/>
              </w:rPr>
              <w:instrText xml:space="preserve">PAGEREF _Toc216991178 \h</w:instrText>
            </w:r>
            <w:r>
              <w:rPr>
                <w:webHidden/>
              </w:rPr>
              <w:fldChar w:fldCharType="separate"/>
            </w:r>
            <w:r>
              <w:rPr>
                <w:rStyle w:val="czeindeksu"/>
                <w:vanish w:val="false"/>
              </w:rPr>
              <w:tab/>
              <w:t>88</w:t>
            </w:r>
            <w:r>
              <w:rPr>
                <w:webHidden/>
              </w:rPr>
              <w:fldChar w:fldCharType="end"/>
            </w:r>
          </w:hyperlink>
        </w:p>
        <w:p>
          <w:pPr>
            <w:pStyle w:val="TOC3"/>
            <w:tabs>
              <w:tab w:val="clear" w:pos="708"/>
              <w:tab w:val="right" w:pos="9062" w:leader="dot"/>
            </w:tabs>
            <w:rPr>
              <w:rFonts w:eastAsia="" w:eastAsiaTheme="minorEastAsia"/>
              <w:sz w:val="24"/>
              <w:szCs w:val="24"/>
              <w:lang w:eastAsia="pl-PL"/>
            </w:rPr>
          </w:pPr>
          <w:hyperlink w:anchor="_Toc216991179">
            <w:r>
              <w:rPr>
                <w:webHidden/>
                <w:rStyle w:val="czeindeksu"/>
              </w:rPr>
              <w:t>8.2.1. Środki europejskie</w:t>
            </w:r>
            <w:r>
              <w:rPr>
                <w:webHidden/>
              </w:rPr>
              <w:fldChar w:fldCharType="begin"/>
            </w:r>
            <w:r>
              <w:rPr>
                <w:webHidden/>
              </w:rPr>
              <w:instrText xml:space="preserve">PAGEREF _Toc216991179 \h</w:instrText>
            </w:r>
            <w:r>
              <w:rPr>
                <w:webHidden/>
              </w:rPr>
              <w:fldChar w:fldCharType="separate"/>
            </w:r>
            <w:r>
              <w:rPr>
                <w:rStyle w:val="czeindeksu"/>
                <w:vanish w:val="false"/>
              </w:rPr>
              <w:tab/>
              <w:t>88</w:t>
            </w:r>
            <w:r>
              <w:rPr>
                <w:webHidden/>
              </w:rPr>
              <w:fldChar w:fldCharType="end"/>
            </w:r>
          </w:hyperlink>
        </w:p>
        <w:p>
          <w:pPr>
            <w:pStyle w:val="TOC3"/>
            <w:tabs>
              <w:tab w:val="clear" w:pos="708"/>
              <w:tab w:val="right" w:pos="9062" w:leader="dot"/>
            </w:tabs>
            <w:rPr>
              <w:rFonts w:eastAsia="" w:eastAsiaTheme="minorEastAsia"/>
              <w:sz w:val="24"/>
              <w:szCs w:val="24"/>
              <w:lang w:eastAsia="pl-PL"/>
            </w:rPr>
          </w:pPr>
          <w:hyperlink w:anchor="_Toc216991180">
            <w:r>
              <w:rPr>
                <w:webHidden/>
                <w:rStyle w:val="czeindeksu"/>
              </w:rPr>
              <w:t>8.2.2. Inne potencjalne zewnętrzne źródła finansowania</w:t>
            </w:r>
            <w:r>
              <w:rPr>
                <w:webHidden/>
              </w:rPr>
              <w:fldChar w:fldCharType="begin"/>
            </w:r>
            <w:r>
              <w:rPr>
                <w:webHidden/>
              </w:rPr>
              <w:instrText xml:space="preserve">PAGEREF _Toc216991180 \h</w:instrText>
            </w:r>
            <w:r>
              <w:rPr>
                <w:webHidden/>
              </w:rPr>
              <w:fldChar w:fldCharType="separate"/>
            </w:r>
            <w:r>
              <w:rPr>
                <w:rStyle w:val="czeindeksu"/>
                <w:vanish w:val="false"/>
              </w:rPr>
              <w:tab/>
              <w:t>90</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181">
            <w:r>
              <w:rPr>
                <w:webHidden/>
                <w:rStyle w:val="czeindeksu"/>
              </w:rPr>
              <w:t>9. STRUKTURA ZARZĄDZANIA PROGRAMEM</w:t>
            </w:r>
            <w:r>
              <w:rPr>
                <w:webHidden/>
              </w:rPr>
              <w:fldChar w:fldCharType="begin"/>
            </w:r>
            <w:r>
              <w:rPr>
                <w:webHidden/>
              </w:rPr>
              <w:instrText xml:space="preserve">PAGEREF _Toc216991181 \h</w:instrText>
            </w:r>
            <w:r>
              <w:rPr>
                <w:webHidden/>
              </w:rPr>
              <w:fldChar w:fldCharType="separate"/>
            </w:r>
            <w:r>
              <w:rPr>
                <w:rStyle w:val="czeindeksu"/>
                <w:vanish w:val="false"/>
              </w:rPr>
              <w:tab/>
              <w:t>94</w:t>
            </w:r>
            <w:r>
              <w:rPr>
                <w:webHidden/>
              </w:rPr>
              <w:fldChar w:fldCharType="end"/>
            </w:r>
          </w:hyperlink>
        </w:p>
        <w:p>
          <w:pPr>
            <w:pStyle w:val="TOC2"/>
            <w:rPr>
              <w:rFonts w:eastAsia="" w:eastAsiaTheme="minorEastAsia"/>
              <w:sz w:val="24"/>
              <w:szCs w:val="24"/>
              <w:lang w:eastAsia="pl-PL"/>
            </w:rPr>
          </w:pPr>
          <w:hyperlink w:anchor="_Toc216991182">
            <w:r>
              <w:rPr>
                <w:webHidden/>
                <w:rStyle w:val="czeindeksu"/>
              </w:rPr>
              <w:t>9.1. Opis struktury zarządzania realizacją GPR</w:t>
            </w:r>
            <w:r>
              <w:rPr>
                <w:webHidden/>
              </w:rPr>
              <w:fldChar w:fldCharType="begin"/>
            </w:r>
            <w:r>
              <w:rPr>
                <w:webHidden/>
              </w:rPr>
              <w:instrText xml:space="preserve">PAGEREF _Toc216991182 \h</w:instrText>
            </w:r>
            <w:r>
              <w:rPr>
                <w:webHidden/>
              </w:rPr>
              <w:fldChar w:fldCharType="separate"/>
            </w:r>
            <w:r>
              <w:rPr>
                <w:rStyle w:val="czeindeksu"/>
                <w:vanish w:val="false"/>
              </w:rPr>
              <w:tab/>
              <w:t>94</w:t>
            </w:r>
            <w:r>
              <w:rPr>
                <w:webHidden/>
              </w:rPr>
              <w:fldChar w:fldCharType="end"/>
            </w:r>
          </w:hyperlink>
        </w:p>
        <w:p>
          <w:pPr>
            <w:pStyle w:val="TOC2"/>
            <w:rPr>
              <w:rFonts w:eastAsia="" w:eastAsiaTheme="minorEastAsia"/>
              <w:sz w:val="24"/>
              <w:szCs w:val="24"/>
              <w:lang w:eastAsia="pl-PL"/>
            </w:rPr>
          </w:pPr>
          <w:hyperlink w:anchor="_Toc216991183">
            <w:r>
              <w:rPr>
                <w:webHidden/>
                <w:rStyle w:val="czeindeksu"/>
              </w:rPr>
              <w:t>9.2. Koszty zarządzania</w:t>
            </w:r>
            <w:r>
              <w:rPr>
                <w:webHidden/>
              </w:rPr>
              <w:fldChar w:fldCharType="begin"/>
            </w:r>
            <w:r>
              <w:rPr>
                <w:webHidden/>
              </w:rPr>
              <w:instrText xml:space="preserve">PAGEREF _Toc216991183 \h</w:instrText>
            </w:r>
            <w:r>
              <w:rPr>
                <w:webHidden/>
              </w:rPr>
              <w:fldChar w:fldCharType="separate"/>
            </w:r>
            <w:r>
              <w:rPr>
                <w:rStyle w:val="czeindeksu"/>
                <w:vanish w:val="false"/>
              </w:rPr>
              <w:tab/>
              <w:t>96</w:t>
            </w:r>
            <w:r>
              <w:rPr>
                <w:webHidden/>
              </w:rPr>
              <w:fldChar w:fldCharType="end"/>
            </w:r>
          </w:hyperlink>
        </w:p>
        <w:p>
          <w:pPr>
            <w:pStyle w:val="TOC2"/>
            <w:rPr>
              <w:rFonts w:eastAsia="" w:eastAsiaTheme="minorEastAsia"/>
              <w:sz w:val="24"/>
              <w:szCs w:val="24"/>
              <w:lang w:eastAsia="pl-PL"/>
            </w:rPr>
          </w:pPr>
          <w:hyperlink w:anchor="_Toc216991184">
            <w:r>
              <w:rPr>
                <w:webHidden/>
                <w:rStyle w:val="czeindeksu"/>
              </w:rPr>
              <w:t>9.3. Ramowy harmonogram realizacji GPR</w:t>
            </w:r>
            <w:r>
              <w:rPr>
                <w:webHidden/>
              </w:rPr>
              <w:fldChar w:fldCharType="begin"/>
            </w:r>
            <w:r>
              <w:rPr>
                <w:webHidden/>
              </w:rPr>
              <w:instrText xml:space="preserve">PAGEREF _Toc216991184 \h</w:instrText>
            </w:r>
            <w:r>
              <w:rPr>
                <w:webHidden/>
              </w:rPr>
              <w:fldChar w:fldCharType="separate"/>
            </w:r>
            <w:r>
              <w:rPr>
                <w:rStyle w:val="czeindeksu"/>
                <w:vanish w:val="false"/>
              </w:rPr>
              <w:tab/>
              <w:t>97</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185">
            <w:r>
              <w:rPr>
                <w:webHidden/>
                <w:rStyle w:val="czeindeksu"/>
              </w:rPr>
              <w:t>10. SPOSÓB ZAPEWNIENIA UDZIAŁU INTERESARIUSZY W PROCESIE REWITALIZACJI</w:t>
            </w:r>
            <w:r>
              <w:rPr>
                <w:webHidden/>
              </w:rPr>
              <w:fldChar w:fldCharType="begin"/>
            </w:r>
            <w:r>
              <w:rPr>
                <w:webHidden/>
              </w:rPr>
              <w:instrText xml:space="preserve">PAGEREF _Toc216991185 \h</w:instrText>
            </w:r>
            <w:r>
              <w:rPr>
                <w:webHidden/>
              </w:rPr>
              <w:fldChar w:fldCharType="separate"/>
            </w:r>
            <w:r>
              <w:rPr>
                <w:rStyle w:val="czeindeksu"/>
                <w:vanish w:val="false"/>
              </w:rPr>
              <w:tab/>
              <w:t>100</w:t>
            </w:r>
            <w:r>
              <w:rPr>
                <w:webHidden/>
              </w:rPr>
              <w:fldChar w:fldCharType="end"/>
            </w:r>
          </w:hyperlink>
        </w:p>
        <w:p>
          <w:pPr>
            <w:pStyle w:val="TOC2"/>
            <w:rPr>
              <w:rFonts w:eastAsia="" w:eastAsiaTheme="minorEastAsia"/>
              <w:sz w:val="24"/>
              <w:szCs w:val="24"/>
              <w:lang w:eastAsia="pl-PL"/>
            </w:rPr>
          </w:pPr>
          <w:hyperlink w:anchor="_Toc216991186">
            <w:r>
              <w:rPr>
                <w:webHidden/>
                <w:rStyle w:val="czeindeksu"/>
              </w:rPr>
              <w:t>10.1. Współpraca ze stroną społeczną i otoczeniem gospodarczym</w:t>
            </w:r>
            <w:r>
              <w:rPr>
                <w:webHidden/>
              </w:rPr>
              <w:fldChar w:fldCharType="begin"/>
            </w:r>
            <w:r>
              <w:rPr>
                <w:webHidden/>
              </w:rPr>
              <w:instrText xml:space="preserve">PAGEREF _Toc216991186 \h</w:instrText>
            </w:r>
            <w:r>
              <w:rPr>
                <w:webHidden/>
              </w:rPr>
              <w:fldChar w:fldCharType="separate"/>
            </w:r>
            <w:r>
              <w:rPr>
                <w:rStyle w:val="czeindeksu"/>
                <w:vanish w:val="false"/>
              </w:rPr>
              <w:tab/>
              <w:t>100</w:t>
            </w:r>
            <w:r>
              <w:rPr>
                <w:webHidden/>
              </w:rPr>
              <w:fldChar w:fldCharType="end"/>
            </w:r>
          </w:hyperlink>
        </w:p>
        <w:p>
          <w:pPr>
            <w:pStyle w:val="TOC2"/>
            <w:rPr>
              <w:rFonts w:eastAsia="" w:eastAsiaTheme="minorEastAsia"/>
              <w:sz w:val="24"/>
              <w:szCs w:val="24"/>
              <w:lang w:eastAsia="pl-PL"/>
            </w:rPr>
          </w:pPr>
          <w:hyperlink w:anchor="_Toc216991187">
            <w:r>
              <w:rPr>
                <w:webHidden/>
                <w:rStyle w:val="czeindeksu"/>
              </w:rPr>
              <w:t>10.2. Komitet Rewitalizacji</w:t>
            </w:r>
            <w:r>
              <w:rPr>
                <w:webHidden/>
              </w:rPr>
              <w:fldChar w:fldCharType="begin"/>
            </w:r>
            <w:r>
              <w:rPr>
                <w:webHidden/>
              </w:rPr>
              <w:instrText xml:space="preserve">PAGEREF _Toc216991187 \h</w:instrText>
            </w:r>
            <w:r>
              <w:rPr>
                <w:webHidden/>
              </w:rPr>
              <w:fldChar w:fldCharType="separate"/>
            </w:r>
            <w:r>
              <w:rPr>
                <w:rStyle w:val="czeindeksu"/>
                <w:vanish w:val="false"/>
              </w:rPr>
              <w:tab/>
              <w:t>102</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188">
            <w:r>
              <w:rPr>
                <w:webHidden/>
                <w:rStyle w:val="czeindeksu"/>
              </w:rPr>
              <w:t>11. SYSTEM MONITOROWANIA I OCENY PROGRAMU</w:t>
            </w:r>
            <w:r>
              <w:rPr>
                <w:webHidden/>
              </w:rPr>
              <w:fldChar w:fldCharType="begin"/>
            </w:r>
            <w:r>
              <w:rPr>
                <w:webHidden/>
              </w:rPr>
              <w:instrText xml:space="preserve">PAGEREF _Toc216991188 \h</w:instrText>
            </w:r>
            <w:r>
              <w:rPr>
                <w:webHidden/>
              </w:rPr>
              <w:fldChar w:fldCharType="separate"/>
            </w:r>
            <w:r>
              <w:rPr>
                <w:rStyle w:val="czeindeksu"/>
                <w:vanish w:val="false"/>
              </w:rPr>
              <w:tab/>
              <w:t>102</w:t>
            </w:r>
            <w:r>
              <w:rPr>
                <w:webHidden/>
              </w:rPr>
              <w:fldChar w:fldCharType="end"/>
            </w:r>
          </w:hyperlink>
        </w:p>
        <w:p>
          <w:pPr>
            <w:pStyle w:val="TOC2"/>
            <w:rPr>
              <w:rFonts w:eastAsia="" w:eastAsiaTheme="minorEastAsia"/>
              <w:sz w:val="24"/>
              <w:szCs w:val="24"/>
              <w:lang w:eastAsia="pl-PL"/>
            </w:rPr>
          </w:pPr>
          <w:hyperlink w:anchor="_Toc216991189">
            <w:r>
              <w:rPr>
                <w:webHidden/>
                <w:rStyle w:val="czeindeksu"/>
              </w:rPr>
              <w:t>11.1. Monitorowanie postępów realizacji programu</w:t>
            </w:r>
            <w:r>
              <w:rPr>
                <w:webHidden/>
              </w:rPr>
              <w:fldChar w:fldCharType="begin"/>
            </w:r>
            <w:r>
              <w:rPr>
                <w:webHidden/>
              </w:rPr>
              <w:instrText xml:space="preserve">PAGEREF _Toc216991189 \h</w:instrText>
            </w:r>
            <w:r>
              <w:rPr>
                <w:webHidden/>
              </w:rPr>
              <w:fldChar w:fldCharType="separate"/>
            </w:r>
            <w:r>
              <w:rPr>
                <w:rStyle w:val="czeindeksu"/>
                <w:vanish w:val="false"/>
              </w:rPr>
              <w:tab/>
              <w:t>103</w:t>
            </w:r>
            <w:r>
              <w:rPr>
                <w:webHidden/>
              </w:rPr>
              <w:fldChar w:fldCharType="end"/>
            </w:r>
          </w:hyperlink>
        </w:p>
        <w:p>
          <w:pPr>
            <w:pStyle w:val="TOC2"/>
            <w:rPr>
              <w:rFonts w:eastAsia="" w:eastAsiaTheme="minorEastAsia"/>
              <w:sz w:val="24"/>
              <w:szCs w:val="24"/>
              <w:lang w:eastAsia="pl-PL"/>
            </w:rPr>
          </w:pPr>
          <w:hyperlink w:anchor="_Toc216991190">
            <w:r>
              <w:rPr>
                <w:webHidden/>
                <w:rStyle w:val="czeindeksu"/>
              </w:rPr>
              <w:t>11.2. Ocena aktualności i stopnia realizacji programu</w:t>
            </w:r>
            <w:r>
              <w:rPr>
                <w:webHidden/>
              </w:rPr>
              <w:fldChar w:fldCharType="begin"/>
            </w:r>
            <w:r>
              <w:rPr>
                <w:webHidden/>
              </w:rPr>
              <w:instrText xml:space="preserve">PAGEREF _Toc216991190 \h</w:instrText>
            </w:r>
            <w:r>
              <w:rPr>
                <w:webHidden/>
              </w:rPr>
              <w:fldChar w:fldCharType="separate"/>
            </w:r>
            <w:r>
              <w:rPr>
                <w:rStyle w:val="czeindeksu"/>
                <w:vanish w:val="false"/>
              </w:rPr>
              <w:tab/>
              <w:t>107</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191">
            <w:r>
              <w:rPr>
                <w:webHidden/>
                <w:rStyle w:val="czeindeksu"/>
              </w:rPr>
              <w:t>12. ZMIANY ZWIĄZANE Z WDRAŻANIEM PROGRAMU</w:t>
            </w:r>
            <w:r>
              <w:rPr>
                <w:webHidden/>
              </w:rPr>
              <w:fldChar w:fldCharType="begin"/>
            </w:r>
            <w:r>
              <w:rPr>
                <w:webHidden/>
              </w:rPr>
              <w:instrText xml:space="preserve">PAGEREF _Toc216991191 \h</w:instrText>
            </w:r>
            <w:r>
              <w:rPr>
                <w:webHidden/>
              </w:rPr>
              <w:fldChar w:fldCharType="separate"/>
            </w:r>
            <w:r>
              <w:rPr>
                <w:rStyle w:val="czeindeksu"/>
                <w:vanish w:val="false"/>
              </w:rPr>
              <w:tab/>
              <w:t>109</w:t>
            </w:r>
            <w:r>
              <w:rPr>
                <w:webHidden/>
              </w:rPr>
              <w:fldChar w:fldCharType="end"/>
            </w:r>
          </w:hyperlink>
        </w:p>
        <w:p>
          <w:pPr>
            <w:pStyle w:val="TOC2"/>
            <w:rPr>
              <w:rFonts w:eastAsia="" w:eastAsiaTheme="minorEastAsia"/>
              <w:sz w:val="24"/>
              <w:szCs w:val="24"/>
              <w:lang w:eastAsia="pl-PL"/>
            </w:rPr>
          </w:pPr>
          <w:hyperlink w:anchor="_Toc216991192">
            <w:r>
              <w:rPr>
                <w:webHidden/>
                <w:rStyle w:val="czeindeksu"/>
              </w:rPr>
              <w:t>12.1. Zmiany w uchwałach dotyczących polityki mieszkaniowej gminy</w:t>
            </w:r>
            <w:r>
              <w:rPr>
                <w:webHidden/>
              </w:rPr>
              <w:fldChar w:fldCharType="begin"/>
            </w:r>
            <w:r>
              <w:rPr>
                <w:webHidden/>
              </w:rPr>
              <w:instrText xml:space="preserve">PAGEREF _Toc216991192 \h</w:instrText>
            </w:r>
            <w:r>
              <w:rPr>
                <w:webHidden/>
              </w:rPr>
              <w:fldChar w:fldCharType="separate"/>
            </w:r>
            <w:r>
              <w:rPr>
                <w:rStyle w:val="czeindeksu"/>
                <w:vanish w:val="false"/>
              </w:rPr>
              <w:tab/>
              <w:t>109</w:t>
            </w:r>
            <w:r>
              <w:rPr>
                <w:webHidden/>
              </w:rPr>
              <w:fldChar w:fldCharType="end"/>
            </w:r>
          </w:hyperlink>
        </w:p>
        <w:p>
          <w:pPr>
            <w:pStyle w:val="TOC2"/>
            <w:rPr>
              <w:rFonts w:eastAsia="" w:eastAsiaTheme="minorEastAsia"/>
              <w:sz w:val="24"/>
              <w:szCs w:val="24"/>
              <w:lang w:eastAsia="pl-PL"/>
            </w:rPr>
          </w:pPr>
          <w:hyperlink w:anchor="_Toc216991193">
            <w:r>
              <w:rPr>
                <w:webHidden/>
                <w:rStyle w:val="czeindeksu"/>
              </w:rPr>
              <w:t>12.2. Specjalna Strefa Rewitalizacji</w:t>
            </w:r>
            <w:r>
              <w:rPr>
                <w:webHidden/>
              </w:rPr>
              <w:fldChar w:fldCharType="begin"/>
            </w:r>
            <w:r>
              <w:rPr>
                <w:webHidden/>
              </w:rPr>
              <w:instrText xml:space="preserve">PAGEREF _Toc216991193 \h</w:instrText>
            </w:r>
            <w:r>
              <w:rPr>
                <w:webHidden/>
              </w:rPr>
              <w:fldChar w:fldCharType="separate"/>
            </w:r>
            <w:r>
              <w:rPr>
                <w:rStyle w:val="czeindeksu"/>
                <w:vanish w:val="false"/>
              </w:rPr>
              <w:tab/>
              <w:t>109</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194">
            <w:r>
              <w:rPr>
                <w:webHidden/>
                <w:rStyle w:val="czeindeksu"/>
              </w:rPr>
              <w:t>13. SPOSÓB REALIZACJI GMINNEGO PROGRAMU REWITALIZACJI W ZAKRESIE PLANOWANIA I ZAGOSPODAROWANIA PRZESTRZENNEGO</w:t>
            </w:r>
            <w:r>
              <w:rPr>
                <w:webHidden/>
              </w:rPr>
              <w:fldChar w:fldCharType="begin"/>
            </w:r>
            <w:r>
              <w:rPr>
                <w:webHidden/>
              </w:rPr>
              <w:instrText xml:space="preserve">PAGEREF _Toc216991194 \h</w:instrText>
            </w:r>
            <w:r>
              <w:rPr>
                <w:webHidden/>
              </w:rPr>
              <w:fldChar w:fldCharType="separate"/>
            </w:r>
            <w:r>
              <w:rPr>
                <w:rStyle w:val="czeindeksu"/>
                <w:vanish w:val="false"/>
              </w:rPr>
              <w:tab/>
              <w:t>110</w:t>
            </w:r>
            <w:r>
              <w:rPr>
                <w:webHidden/>
              </w:rPr>
              <w:fldChar w:fldCharType="end"/>
            </w:r>
          </w:hyperlink>
        </w:p>
        <w:p>
          <w:pPr>
            <w:pStyle w:val="TOC2"/>
            <w:rPr>
              <w:rFonts w:eastAsia="" w:eastAsiaTheme="minorEastAsia"/>
              <w:sz w:val="24"/>
              <w:szCs w:val="24"/>
              <w:lang w:eastAsia="pl-PL"/>
            </w:rPr>
          </w:pPr>
          <w:hyperlink w:anchor="_Toc216991195">
            <w:r>
              <w:rPr>
                <w:webHidden/>
                <w:rStyle w:val="czeindeksu"/>
              </w:rPr>
              <w:t>13.1. Wskazanie zakresu niezbędnych zmian w planie ogólnym gminy</w:t>
            </w:r>
            <w:r>
              <w:rPr>
                <w:webHidden/>
              </w:rPr>
              <w:fldChar w:fldCharType="begin"/>
            </w:r>
            <w:r>
              <w:rPr>
                <w:webHidden/>
              </w:rPr>
              <w:instrText xml:space="preserve">PAGEREF _Toc216991195 \h</w:instrText>
            </w:r>
            <w:r>
              <w:rPr>
                <w:webHidden/>
              </w:rPr>
              <w:fldChar w:fldCharType="separate"/>
            </w:r>
            <w:r>
              <w:rPr>
                <w:rStyle w:val="czeindeksu"/>
                <w:vanish w:val="false"/>
              </w:rPr>
              <w:tab/>
              <w:t>110</w:t>
            </w:r>
            <w:r>
              <w:rPr>
                <w:webHidden/>
              </w:rPr>
              <w:fldChar w:fldCharType="end"/>
            </w:r>
          </w:hyperlink>
        </w:p>
        <w:p>
          <w:pPr>
            <w:pStyle w:val="TOC2"/>
            <w:rPr>
              <w:rFonts w:eastAsia="" w:eastAsiaTheme="minorEastAsia"/>
              <w:sz w:val="24"/>
              <w:szCs w:val="24"/>
              <w:lang w:eastAsia="pl-PL"/>
            </w:rPr>
          </w:pPr>
          <w:hyperlink w:anchor="_Toc216991196">
            <w:r>
              <w:rPr>
                <w:webHidden/>
                <w:rStyle w:val="czeindeksu"/>
              </w:rPr>
              <w:t>13.2. Wskazanie miejscowych planów zagospodarowania przestrzennego koniecznych do uchwalenia albo zmiany</w:t>
            </w:r>
            <w:r>
              <w:rPr>
                <w:webHidden/>
              </w:rPr>
              <w:fldChar w:fldCharType="begin"/>
            </w:r>
            <w:r>
              <w:rPr>
                <w:webHidden/>
              </w:rPr>
              <w:instrText xml:space="preserve">PAGEREF _Toc216991196 \h</w:instrText>
            </w:r>
            <w:r>
              <w:rPr>
                <w:webHidden/>
              </w:rPr>
              <w:fldChar w:fldCharType="separate"/>
            </w:r>
            <w:r>
              <w:rPr>
                <w:rStyle w:val="czeindeksu"/>
                <w:vanish w:val="false"/>
              </w:rPr>
              <w:tab/>
              <w:t>110</w:t>
            </w:r>
            <w:r>
              <w:rPr>
                <w:webHidden/>
              </w:rPr>
              <w:fldChar w:fldCharType="end"/>
            </w:r>
          </w:hyperlink>
        </w:p>
        <w:p>
          <w:pPr>
            <w:pStyle w:val="TOC2"/>
            <w:rPr>
              <w:rFonts w:eastAsia="" w:eastAsiaTheme="minorEastAsia"/>
              <w:sz w:val="24"/>
              <w:szCs w:val="24"/>
              <w:lang w:eastAsia="pl-PL"/>
            </w:rPr>
          </w:pPr>
          <w:hyperlink w:anchor="_Toc216991197">
            <w:r>
              <w:rPr>
                <w:webHidden/>
                <w:rStyle w:val="czeindeksu"/>
              </w:rPr>
              <w:t>13.3. Miejscowy Plan Rewitalizacji</w:t>
            </w:r>
            <w:r>
              <w:rPr>
                <w:webHidden/>
              </w:rPr>
              <w:fldChar w:fldCharType="begin"/>
            </w:r>
            <w:r>
              <w:rPr>
                <w:webHidden/>
              </w:rPr>
              <w:instrText xml:space="preserve">PAGEREF _Toc216991197 \h</w:instrText>
            </w:r>
            <w:r>
              <w:rPr>
                <w:webHidden/>
              </w:rPr>
              <w:fldChar w:fldCharType="separate"/>
            </w:r>
            <w:r>
              <w:rPr>
                <w:rStyle w:val="czeindeksu"/>
                <w:vanish w:val="false"/>
              </w:rPr>
              <w:tab/>
              <w:t>110</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198">
            <w:r>
              <w:rPr>
                <w:webHidden/>
                <w:rStyle w:val="czeindeksu"/>
              </w:rPr>
              <w:t>SPIS TABEL</w:t>
            </w:r>
            <w:r>
              <w:rPr>
                <w:webHidden/>
              </w:rPr>
              <w:fldChar w:fldCharType="begin"/>
            </w:r>
            <w:r>
              <w:rPr>
                <w:webHidden/>
              </w:rPr>
              <w:instrText xml:space="preserve">PAGEREF _Toc216991198 \h</w:instrText>
            </w:r>
            <w:r>
              <w:rPr>
                <w:webHidden/>
              </w:rPr>
              <w:fldChar w:fldCharType="separate"/>
            </w:r>
            <w:r>
              <w:rPr>
                <w:rStyle w:val="czeindeksu"/>
                <w:vanish w:val="false"/>
              </w:rPr>
              <w:tab/>
              <w:t>111</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199">
            <w:r>
              <w:rPr>
                <w:webHidden/>
                <w:rStyle w:val="czeindeksu"/>
              </w:rPr>
              <w:t>SPIS RYCIN</w:t>
            </w:r>
            <w:r>
              <w:rPr>
                <w:webHidden/>
              </w:rPr>
              <w:fldChar w:fldCharType="begin"/>
            </w:r>
            <w:r>
              <w:rPr>
                <w:webHidden/>
              </w:rPr>
              <w:instrText xml:space="preserve">PAGEREF _Toc216991199 \h</w:instrText>
            </w:r>
            <w:r>
              <w:rPr>
                <w:webHidden/>
              </w:rPr>
              <w:fldChar w:fldCharType="separate"/>
            </w:r>
            <w:r>
              <w:rPr>
                <w:rStyle w:val="czeindeksu"/>
                <w:vanish w:val="false"/>
              </w:rPr>
              <w:tab/>
              <w:t>112</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200">
            <w:r>
              <w:rPr>
                <w:webHidden/>
                <w:rStyle w:val="czeindeksu"/>
              </w:rPr>
              <w:t>SPIS WYKRESÓW</w:t>
            </w:r>
            <w:r>
              <w:rPr>
                <w:webHidden/>
              </w:rPr>
              <w:fldChar w:fldCharType="begin"/>
            </w:r>
            <w:r>
              <w:rPr>
                <w:webHidden/>
              </w:rPr>
              <w:instrText xml:space="preserve">PAGEREF _Toc216991200 \h</w:instrText>
            </w:r>
            <w:r>
              <w:rPr>
                <w:webHidden/>
              </w:rPr>
              <w:fldChar w:fldCharType="separate"/>
            </w:r>
            <w:r>
              <w:rPr>
                <w:rStyle w:val="czeindeksu"/>
                <w:vanish w:val="false"/>
              </w:rPr>
              <w:tab/>
              <w:t>113</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201">
            <w:r>
              <w:rPr>
                <w:webHidden/>
                <w:rStyle w:val="czeindeksu"/>
              </w:rPr>
              <w:t>SPIS FOTOGRAFII</w:t>
            </w:r>
            <w:r>
              <w:rPr>
                <w:webHidden/>
              </w:rPr>
              <w:fldChar w:fldCharType="begin"/>
            </w:r>
            <w:r>
              <w:rPr>
                <w:webHidden/>
              </w:rPr>
              <w:instrText xml:space="preserve">PAGEREF _Toc216991201 \h</w:instrText>
            </w:r>
            <w:r>
              <w:rPr>
                <w:webHidden/>
              </w:rPr>
              <w:fldChar w:fldCharType="separate"/>
            </w:r>
            <w:r>
              <w:rPr>
                <w:rStyle w:val="czeindeksu"/>
                <w:vanish w:val="false"/>
              </w:rPr>
              <w:tab/>
              <w:t>114</w:t>
            </w:r>
            <w:r>
              <w:rPr>
                <w:webHidden/>
              </w:rPr>
              <w:fldChar w:fldCharType="end"/>
            </w:r>
          </w:hyperlink>
        </w:p>
        <w:p>
          <w:pPr>
            <w:pStyle w:val="TOC1"/>
            <w:tabs>
              <w:tab w:val="clear" w:pos="708"/>
              <w:tab w:val="right" w:pos="9062" w:leader="dot"/>
            </w:tabs>
            <w:rPr>
              <w:rFonts w:eastAsia="" w:eastAsiaTheme="minorEastAsia"/>
              <w:sz w:val="24"/>
              <w:szCs w:val="24"/>
              <w:lang w:eastAsia="pl-PL"/>
            </w:rPr>
          </w:pPr>
          <w:hyperlink w:anchor="_Toc216991202">
            <w:r>
              <w:rPr>
                <w:webHidden/>
                <w:rStyle w:val="czeindeksu"/>
              </w:rPr>
              <w:t>ZAŁĄCZNIKI</w:t>
            </w:r>
            <w:r>
              <w:rPr>
                <w:webHidden/>
              </w:rPr>
              <w:fldChar w:fldCharType="begin"/>
            </w:r>
            <w:r>
              <w:rPr>
                <w:webHidden/>
              </w:rPr>
              <w:instrText xml:space="preserve">PAGEREF _Toc216991202 \h</w:instrText>
            </w:r>
            <w:r>
              <w:rPr>
                <w:webHidden/>
              </w:rPr>
              <w:fldChar w:fldCharType="separate"/>
            </w:r>
            <w:r>
              <w:rPr>
                <w:rStyle w:val="czeindeksu"/>
                <w:vanish w:val="false"/>
              </w:rPr>
              <w:tab/>
              <w:t>115</w:t>
            </w:r>
            <w:r>
              <w:rPr>
                <w:webHidden/>
              </w:rPr>
              <w:fldChar w:fldCharType="end"/>
            </w:r>
          </w:hyperlink>
          <w:r>
            <w:rPr>
              <w:rStyle w:val="czeindeksu"/>
              <w:vanish w:val="false"/>
            </w:rPr>
            <w:fldChar w:fldCharType="end"/>
          </w:r>
        </w:p>
      </w:sdtContent>
    </w:sdt>
    <w:p>
      <w:pPr>
        <w:pStyle w:val="TOC1"/>
        <w:tabs>
          <w:tab w:val="clear" w:pos="708"/>
          <w:tab w:val="right" w:pos="9062" w:leader="dot"/>
        </w:tabs>
        <w:rPr>
          <w:rFonts w:eastAsia="" w:eastAsiaTheme="minorEastAsia"/>
          <w:sz w:val="24"/>
          <w:szCs w:val="24"/>
          <w:lang w:eastAsia="pl-PL"/>
        </w:rPr>
      </w:pPr>
      <w:r>
        <w:rPr>
          <w:rFonts w:eastAsia="" w:eastAsiaTheme="minorEastAsia"/>
          <w:sz w:val="24"/>
          <w:szCs w:val="24"/>
          <w:lang w:eastAsia="pl-PL"/>
        </w:rPr>
      </w:r>
    </w:p>
    <w:p>
      <w:pPr>
        <w:pStyle w:val="TOC1"/>
        <w:tabs>
          <w:tab w:val="clear" w:pos="708"/>
          <w:tab w:val="right" w:pos="9062" w:leader="dot"/>
        </w:tabs>
        <w:rPr>
          <w:rFonts w:eastAsia="" w:eastAsiaTheme="minorEastAsia"/>
          <w:sz w:val="24"/>
          <w:szCs w:val="24"/>
          <w:lang w:eastAsia="pl-PL"/>
        </w:rPr>
      </w:pPr>
      <w:r>
        <w:rPr>
          <w:rFonts w:eastAsia="" w:eastAsiaTheme="minorEastAsia"/>
          <w:sz w:val="24"/>
          <w:szCs w:val="24"/>
          <w:lang w:eastAsia="pl-PL"/>
        </w:rPr>
      </w:r>
    </w:p>
    <w:p>
      <w:pPr>
        <w:pStyle w:val="TOC1"/>
        <w:tabs>
          <w:tab w:val="clear" w:pos="708"/>
          <w:tab w:val="right" w:pos="9062" w:leader="dot"/>
        </w:tabs>
        <w:spacing w:lineRule="auto" w:line="240" w:before="40" w:after="40"/>
        <w:rPr>
          <w:rFonts w:eastAsia="" w:eastAsiaTheme="minorEastAsia"/>
          <w:sz w:val="24"/>
          <w:szCs w:val="24"/>
          <w:lang w:eastAsia="pl-PL"/>
        </w:rPr>
      </w:pPr>
      <w:r>
        <w:rPr>
          <w:rFonts w:eastAsia="" w:eastAsiaTheme="minorEastAsia"/>
          <w:sz w:val="24"/>
          <w:szCs w:val="24"/>
          <w:lang w:eastAsia="pl-PL"/>
        </w:rPr>
      </w:r>
    </w:p>
    <w:p>
      <w:pPr>
        <w:pStyle w:val="Normal"/>
        <w:spacing w:lineRule="auto" w:line="240" w:before="40" w:after="40"/>
        <w:rPr/>
      </w:pPr>
      <w:r>
        <w:rPr/>
      </w:r>
    </w:p>
    <w:p>
      <w:pPr>
        <w:pStyle w:val="Normal"/>
        <w:rPr/>
      </w:pPr>
      <w:r>
        <w:rPr/>
      </w:r>
    </w:p>
    <w:p>
      <w:pPr>
        <w:pStyle w:val="Heading1"/>
        <w:rPr/>
      </w:pPr>
      <w:bookmarkStart w:id="0" w:name="_Toc216991149"/>
      <w:r>
        <w:rPr/>
        <w:t>Wprowadzenie</w:t>
      </w:r>
      <w:bookmarkEnd w:id="0"/>
      <w:r>
        <w:rPr/>
        <w:tab/>
      </w:r>
    </w:p>
    <w:p>
      <w:pPr>
        <w:pStyle w:val="Normal"/>
        <w:rPr/>
      </w:pPr>
      <w:r>
        <w:rPr>
          <w:i/>
          <w:iCs/>
        </w:rPr>
        <w:t xml:space="preserve">Gminny Program Rewitalizacji Gminy Nowe Miasteczko do roku 2035 </w:t>
      </w:r>
      <w:r>
        <w:rPr/>
        <w:t xml:space="preserve">(dalej jako GPR lub </w:t>
      </w:r>
      <w:r>
        <w:rPr>
          <w:i/>
          <w:iCs/>
        </w:rPr>
        <w:t>Program</w:t>
      </w:r>
      <w:r>
        <w:rPr/>
        <w:t>) jest dokumentem opracowanym w oparciu o przepisy ustawy z dnia 9 października 2015 r. o rewitalizacji</w:t>
      </w:r>
      <w:r>
        <w:rPr>
          <w:rStyle w:val="FootnoteReference"/>
        </w:rPr>
        <w:footnoteReference w:id="2"/>
      </w:r>
      <w:r>
        <w:rPr/>
        <w:t>, a także będącym strategią terytorialną (strategią IIT), zgodnie z Rozporządzeniem ogólnym 2021/1060 oraz z ustawą z dnia 28 kwietnia 2022 r. o zasadach realizacji zadań finansowanych ze środków europejskich w perspektywie finansowej 2021-2027</w:t>
      </w:r>
      <w:r>
        <w:rPr>
          <w:rStyle w:val="FootnoteReference"/>
        </w:rPr>
        <w:footnoteReference w:id="3"/>
      </w:r>
      <w:r>
        <w:rPr/>
        <w:t>. Dokument ten jest także zgodny z treścią „Zasad realizacji instrumentów terytorialnych w Polsce w perspektywie finansowej UE na lata 2021-2027”</w:t>
      </w:r>
      <w:r>
        <w:rPr>
          <w:rStyle w:val="FootnoteReference"/>
        </w:rPr>
        <w:footnoteReference w:id="4"/>
      </w:r>
      <w:r>
        <w:rPr/>
        <w:t xml:space="preserve"> wydanych przez ministra właściwego ds. rozwoju regionalnego.</w:t>
      </w:r>
    </w:p>
    <w:p>
      <w:pPr>
        <w:pStyle w:val="Normal"/>
        <w:rPr/>
      </w:pPr>
      <w:r>
        <w:rPr/>
        <w:t xml:space="preserve">W art. 2 ust. 1 ustawy o rewitalizacji, rewitalizację zdefiniowano jako proces wyprowadzania ze stanu kryzysowego obszarów zdegradowanych, prowadzony w sposób kompleksowy, poprzez zintegrowane działania na rzecz lokalnej społeczności, przestrzeni i gospodarki, skoncentrowane terytorialnie, prowadzone przez interesariuszy rewitalizacji na podstawie gminnego programu rewitalizacji. Proces rewitalizacji ma w pierwszej kolejności charakter społeczny, a jego celem jest poprawa jakości życia i aktywna pomoc w rozwiązaniu problemów mieszkańców żyjących w tych częściach gmin, które z różnych powodów znajdują się w trudnym położeniu. Jak wynika z ustawy o rewitalizacji i inaczej niż w przypadku innych dokumentów strategicznych obowiązujących w Nowym Miasteczku, postanowienia GPR koncentrują się na wybranych fragmentach gminy (obszarze rewitalizacji), co ma na celu maksymalnie efektywne wykorzystanie zasobów i środków finansowych miejskich instytucji i ich partnerów. </w:t>
      </w:r>
    </w:p>
    <w:p>
      <w:pPr>
        <w:pStyle w:val="Normal"/>
        <w:rPr/>
      </w:pPr>
      <w:r>
        <w:rPr>
          <w:i/>
          <w:iCs/>
        </w:rPr>
        <w:t xml:space="preserve">Gminny Program Rewitalizacji Gminy Nowe Miasteczko do roku 2035 </w:t>
      </w:r>
      <w:r>
        <w:rPr/>
        <w:t xml:space="preserve">to kierunkowy i ramowy dokument, który ma na celu integrować realizację przedsięwzięć o charakterze społecznym, gospodarczym, środowiskowym, funkcjonalno-przestrzennym oraz technicznym. Określenie celów i przedsięwzięć rewitalizacyjnych poprzedzone zostało opracowaniem szczegółowej diagnozy obszaru rewitalizacji, uwzględniającej analizę jego problemów, potrzeb i potencjałów rozwojowych. W celach GPR i sposobie jego realizacji uwzględniono podejście zintegrowane, a w dokumencie zdefiniowano również listę przedsięwzięć rewitalizacyjnych (projektów). Wskazano także sposób zarządzania procesem rewitalizacji w gminie. </w:t>
      </w:r>
    </w:p>
    <w:p>
      <w:pPr>
        <w:pStyle w:val="Normal"/>
        <w:rPr/>
      </w:pPr>
      <w:r>
        <w:rPr/>
        <w:t xml:space="preserve">Podczas prac nad </w:t>
      </w:r>
      <w:r>
        <w:rPr>
          <w:i/>
          <w:iCs/>
        </w:rPr>
        <w:t>Programem</w:t>
      </w:r>
      <w:r>
        <w:rPr/>
        <w:t xml:space="preserve"> szczególny nacisk położono na możliwie szerokie zaangażowanie interesariuszy procesu rewitalizacji. Na każdym etapie prac uwzględniono w związku z tym potrzebę zaangażowania partnerów społeczno-gospodarczych oraz właściwych podmiotów reprezentujących społeczeństwo obywatelskie, podmiotów działających na rzecz ochrony środowiska oraz podmiotów odpowiedzialnych za promowanie włączenia społecznego, praw podstawowych, praw osób ze specjalnymi potrzebami, równości płci i niedyskryminacji. W toku organizacji procesu konsultacji społecznych uwzględniono tym samym treść „Zasad realizacji instrumentów terytorialnych w Polsce w perspektywie finansowej UE na lata 2021-2027”.</w:t>
      </w:r>
    </w:p>
    <w:p>
      <w:pPr>
        <w:pStyle w:val="Normal"/>
        <w:rPr/>
      </w:pPr>
      <w:r>
        <w:rPr/>
        <w:t xml:space="preserve">Opinie i propozycje zgłaszane przez interesariuszy procesu rewitalizacji podczas prac nad GPR były brane pod uwagę na równi z obiektywnymi miernikami sytuacji społeczno-gospodarczej na obszarze rewitalizacji. Połączenie ilościowych i jakościowych metod pozyskiwania i analizy danych stanowi podstawę do założenia, że interwencja w obszarze rewitalizacji będzie prowadzona na właściwym obszarze i przy pomocy narzędzi adekwatnych do zidentyfikowanych potrzeb, wyzwań, barier, deficytów i potencjałów. </w:t>
      </w:r>
    </w:p>
    <w:p>
      <w:pPr>
        <w:pStyle w:val="Normal"/>
        <w:rPr/>
      </w:pPr>
      <w:r>
        <w:rPr/>
        <w:t xml:space="preserve">W latach poprzedzających opracowanie </w:t>
      </w:r>
      <w:r>
        <w:rPr>
          <w:i/>
          <w:iCs/>
        </w:rPr>
        <w:t>Programu</w:t>
      </w:r>
      <w:r>
        <w:rPr/>
        <w:t xml:space="preserve"> w Gminie Nowe Miasteczko wdrażano </w:t>
      </w:r>
      <w:r>
        <w:rPr>
          <w:i/>
          <w:iCs/>
        </w:rPr>
        <w:t xml:space="preserve">Program Rewitalizacji Gminy Nowe Miasteczko na lata 2017-2023 </w:t>
      </w:r>
      <w:r>
        <w:rPr/>
        <w:t>przyjęty w drodze uchwały nr XXXIX/249/2018 Rady Miejskiej w Nowym Miasteczku z dnia 26 lutego 2018 r. Do najważniejszych dotychczasowych zrealizowanych przedsięwzięć wpisujących się w cele procesu rewitalizacji w Nowym Miasteczku należy projekt „Termomodernizacja budynków użyteczności publicznej w Gminie Nowe Miasteczko”. Ponadto we wcześniejszych latach (2009-2012) realizowany był projekt „Rewitalizacja Starego Miasta w Nowym Miasteczku”. Doświadczenia z planowania i wdrażania tych oraz innych działań realizowanych przez Urząd Miejski w Nowym Miasteczku oraz jego partnerów stanowiły istotny zasób przy pracach nad GPR.</w:t>
      </w:r>
    </w:p>
    <w:p>
      <w:pPr>
        <w:pStyle w:val="Heading1"/>
        <w:rPr/>
      </w:pPr>
      <w:r>
        <w:rPr/>
      </w:r>
    </w:p>
    <w:p>
      <w:pPr>
        <w:pStyle w:val="Normal"/>
        <w:rPr>
          <w:rFonts w:ascii="Aptos Display" w:hAnsi="Aptos Display" w:eastAsia="" w:cs="" w:asciiTheme="majorHAnsi" w:cstheme="majorBidi" w:eastAsiaTheme="majorEastAsia" w:hAnsiTheme="majorHAnsi"/>
          <w:color w:themeColor="accent1" w:themeShade="bf" w:val="2F5496"/>
          <w:sz w:val="28"/>
          <w:szCs w:val="40"/>
        </w:rPr>
      </w:pPr>
      <w:r>
        <w:rPr>
          <w:rFonts w:eastAsia="" w:cs="" w:cstheme="majorBidi" w:eastAsiaTheme="majorEastAsia" w:ascii="Aptos Display" w:hAnsi="Aptos Display"/>
          <w:color w:themeColor="accent1" w:themeShade="bf" w:val="2F5496"/>
          <w:sz w:val="28"/>
          <w:szCs w:val="40"/>
        </w:rPr>
      </w:r>
      <w:r>
        <w:br w:type="page"/>
      </w:r>
    </w:p>
    <w:p>
      <w:pPr>
        <w:pStyle w:val="Heading1"/>
        <w:spacing w:before="0" w:after="80"/>
        <w:rPr/>
      </w:pPr>
      <w:bookmarkStart w:id="1" w:name="_Toc216991150"/>
      <w:r>
        <w:rPr/>
        <w:t>1. ZASADY PRAC NAD PROGRAMEM</w:t>
      </w:r>
      <w:bookmarkEnd w:id="1"/>
    </w:p>
    <w:p>
      <w:pPr>
        <w:pStyle w:val="Heading2"/>
        <w:rPr/>
      </w:pPr>
      <w:bookmarkStart w:id="2" w:name="_Toc216991151"/>
      <w:r>
        <w:rPr/>
        <w:t>1.1. Logika prac nad programem</w:t>
      </w:r>
      <w:bookmarkEnd w:id="2"/>
    </w:p>
    <w:p>
      <w:pPr>
        <w:pStyle w:val="Normal"/>
        <w:rPr/>
      </w:pPr>
      <w:r>
        <w:rPr/>
        <w:t xml:space="preserve">Podstawą do rozpoczęcia prac nad </w:t>
      </w:r>
      <w:r>
        <w:rPr>
          <w:i/>
          <w:iCs/>
        </w:rPr>
        <w:t xml:space="preserve">Gminnym Programem Rewitalizacji Gminy Nowe Miasteczko do roku 2035 </w:t>
      </w:r>
      <w:r>
        <w:rPr/>
        <w:t>była uchwała nr XVII/176/2025 Rady Miejskiej w Nowym Miasteczku z dnia 2 września 2025 r. w sprawie przystąpienia do sporządzenia Gminnego Programu Rewitalizacji Gminy Nowe Miasteczko. Wcześniej, w dniu 25 czerwca 2025 r. Rada Miejska w Nowym Miasteczku podjęła uchwałę nr XV/161/2025 w sprawie wyznaczenia obszaru zdegradowanego i obszaru rewitalizacji Gminy i Miasta Nowe Miasteczko</w:t>
      </w:r>
      <w:r>
        <w:rPr>
          <w:rStyle w:val="FootnoteReference"/>
        </w:rPr>
        <w:footnoteReference w:id="5"/>
      </w:r>
      <w:r>
        <w:rPr/>
        <w:t xml:space="preserve">. </w:t>
      </w:r>
    </w:p>
    <w:p>
      <w:pPr>
        <w:pStyle w:val="Normal"/>
        <w:rPr/>
      </w:pPr>
      <w:r>
        <w:rPr/>
        <w:t xml:space="preserve">Treść GPR jest zgodna z przepisami ustawy z dnia 9 października 2015 r. o rewitalizacji. W myśl zapisów tej ustawy należy uznać, że obszarem rewitalizacji jest obszar znajdujący się w stanie kryzysowym z powodu koncentracji negatywnych zjawisk społecznych, takich jak ubóstwo, bezrobocie czy też liczba osób ze szczególnymi potrzebami. Dodatkowo, na obszarze rewitalizacji występują deficyty w sferach: gospodarczej, środowiskowej, przestrzenno-funkcjonalnej lub technicznej. Jest to także obszar o istotnym znaczeniu dla rozwoju lokalnego, zajmujący nie więcej niż 20% powierzchni gminy, a także zamieszkiwany przez nie więcej niż 30% mieszkańców gminy. </w:t>
      </w:r>
    </w:p>
    <w:p>
      <w:pPr>
        <w:pStyle w:val="Normal"/>
        <w:rPr/>
      </w:pPr>
      <w:r>
        <w:rPr/>
        <w:t>Obszar rewitalizacji w Nowym Miasteczku zajmuje niewiele ponad 6% powierzchni całkowitej i jest zamieszkały przez niemal 28,5% wszystkich mieszkańców gminy. Wyznaczenie granic obszaru poprzedzone zostało opracowaniem kompleksowej diagnozy, w której wykorzystano obiektywne i weryfikowalne wskaźniki, umożliwiające analizę negatywnych zjawisk na terenie gminy</w:t>
      </w:r>
      <w:r>
        <w:rPr>
          <w:rStyle w:val="FootnoteReference"/>
        </w:rPr>
        <w:footnoteReference w:id="6"/>
      </w:r>
      <w:r>
        <w:rPr/>
        <w:t xml:space="preserve">. Wskaźniki te dotyczyły np. poziomu ubóstwa i bezrobocia, liczby osób ze szczególnymi potrzebami czy też liczby przedsiębiorstw. Przy pracach nad </w:t>
      </w:r>
      <w:r>
        <w:rPr>
          <w:i/>
          <w:iCs/>
        </w:rPr>
        <w:t>Programem</w:t>
      </w:r>
      <w:r>
        <w:rPr/>
        <w:t xml:space="preserve"> przyjęto zatem założenie, że osiągnięcie celów procesu rewitalizacji będzie możliwe tylko w przypadku zaplanowania i realizacji zestawu różnorodnych przedsięwzięć o charakterze społecznym, jak i infrastrukturalnym.</w:t>
      </w:r>
    </w:p>
    <w:p>
      <w:pPr>
        <w:pStyle w:val="Normal"/>
        <w:rPr/>
      </w:pPr>
      <w:r>
        <w:rPr/>
        <w:t>W toku prac nad GPR wykorzystano różnorodne metody i podejścia do gromadzenia i analizy informacji, które przełożyły się następnie na konkretne zapisy dokumentu. Obok ilościowych analiz wskaźnikowych przeprowadzono rozbudowane działania konsultacyjne, ukierunkowane na pozyskanie indywidualnych opinii mieszkańców Gminy Nowe Miasteczko, przedstawicieli formalnych i nieformalnych grup mieszkańców, a także przedstawicieli Urzędu Miejskiego w Nowym Miasteczku i jego jednostek organizacyjnych oraz innych instytucji publicznych.</w:t>
      </w:r>
    </w:p>
    <w:p>
      <w:pPr>
        <w:pStyle w:val="Normal"/>
        <w:rPr/>
      </w:pPr>
      <w:r>
        <w:rPr/>
        <w:t xml:space="preserve">Programowanie przedsięwzięć rewitalizacyjnych powiązano z wytycznymi na szczeblach regionalnym, krajowym i unijnym. GPR spełnia tym samym wymagania wynikające zarówno z ustawy o rewitalizacji, jak i „Zasad realizacji instrumentów terytorialnych w Polsce w perspektywie finansowej UE na lata 2021-2027”. GPR stanowi jednocześnie strategię IIT w myśl ustawy z dnia 28 kwietnia 2022 r. o zasadach realizacji zadań finansowanych ze środków europejskich w perspektywie finansowej 2021–2027, a także spełnia wymogi </w:t>
      </w:r>
      <w:r>
        <w:rPr>
          <w:i/>
          <w:iCs/>
        </w:rPr>
        <w:t>Procedury weryfikacji gminnych programów rewitalizacji w województwie lubuskim w perspektywie UE 2021-2027</w:t>
      </w:r>
      <w:r>
        <w:rPr>
          <w:rStyle w:val="Znakiprzypiswdolnych"/>
        </w:rPr>
        <w:t xml:space="preserve"> </w:t>
      </w:r>
      <w:r>
        <w:rPr>
          <w:rStyle w:val="FootnoteReference"/>
        </w:rPr>
        <w:footnoteReference w:id="7"/>
      </w:r>
      <w:r>
        <w:rPr/>
        <w:t xml:space="preserve">. </w:t>
      </w:r>
    </w:p>
    <w:p>
      <w:pPr>
        <w:pStyle w:val="Heading2"/>
        <w:rPr/>
      </w:pPr>
      <w:r>
        <w:rPr/>
      </w:r>
    </w:p>
    <w:p>
      <w:pPr>
        <w:pStyle w:val="Heading2"/>
        <w:rPr/>
      </w:pPr>
      <w:bookmarkStart w:id="3" w:name="_Toc216991152"/>
      <w:r>
        <w:rPr/>
        <w:t>1.2. Ocena dotychczasowych efektów procesu rewitalizacji</w:t>
      </w:r>
      <w:bookmarkEnd w:id="3"/>
    </w:p>
    <w:p>
      <w:pPr>
        <w:pStyle w:val="Normal"/>
        <w:rPr/>
      </w:pPr>
      <w:r>
        <w:rPr/>
        <w:t xml:space="preserve">W Gminie Nowe Miasteczko w minionych latach prowadzone były różnorodne działania mające na celu poprawę jakości życia mieszkańców na tych obszarach gminy, które znajdują się w obiektywnie najgorszej sytuacji. Do tej pory w mieście obowiązywał dokument ukierunkowujący szeroko pojęte działania rewitalizacyjne, chociaż nie był gminnym programem rewitalizacji w rozumieniu przepisów ustawy o rewitalizacji, ale tzw. lokalnym programem rewitalizacji opracowanym na podstawie ustawy z dnia 8 marca 1990 r. o samorządzie gminnym. Był to </w:t>
      </w:r>
      <w:r>
        <w:rPr>
          <w:i/>
          <w:iCs/>
        </w:rPr>
        <w:t>Program Rewitalizacji Gminy Nowe Miasteczko na lata 2017-2023</w:t>
      </w:r>
      <w:r>
        <w:rPr/>
        <w:t>, przyjęty w drodze uchwały nr XXXIX/249/2018 Rady Miejskiej w Nowym Miasteczku z dnia 26 lutego 2018 r. (dalej: LPR). Przestał on obowiązywać dnia 31 grudnia 2023 r., na podstawie art. 52 ust. 1 ustawy o rewitalizacji.</w:t>
      </w:r>
    </w:p>
    <w:p>
      <w:pPr>
        <w:pStyle w:val="Normal"/>
        <w:rPr/>
      </w:pPr>
      <w:r>
        <w:rPr/>
        <w:t xml:space="preserve">Ta ciągłość programowa stanowi istotny potencjał w toku prac nad </w:t>
      </w:r>
      <w:r>
        <w:rPr>
          <w:i/>
          <w:iCs/>
        </w:rPr>
        <w:t>Programem</w:t>
      </w:r>
      <w:r>
        <w:rPr/>
        <w:t xml:space="preserve">. Dotychczasowe doświadczenia są niejako głównym punktem odniesienia przy planowaniu przedsięwzięć rewitalizacyjnych na kolejną dekadę. </w:t>
      </w:r>
    </w:p>
    <w:p>
      <w:pPr>
        <w:pStyle w:val="Normal"/>
        <w:rPr/>
      </w:pPr>
      <w:r>
        <w:rPr/>
        <w:t xml:space="preserve">Zawarte w LPR projekty rewitalizacyjne skupiały się przede wszystkim na trzech sferach: społecznej, przestrzenno-funkcjonalnej oraz technicznej. Ambitne cele nie znalazły znaczącego odzwierciedlenia w realnych zdolnościach gminy do realizowania zadań. Do końca 2023 r. zrealizowano lub rozpoczęto realizację niewielkiej części przedsięwzięć rewitalizacyjnych zawartych w LPR. W całości zrealizowany został wyłącznie projekt „Termomodernizacja budynków użyteczności publicznej w Gminie Nowe Miasteczko”. Przyniósł on oczekiwane korzyści dla obszaru rewitalizacji. Inne projekty, których realizacja okazała się z różnych przyczyn niemożliwa do 2023 r., mogą posłużyć za inspirację przy pracach nad </w:t>
      </w:r>
      <w:r>
        <w:rPr>
          <w:i/>
          <w:iCs/>
        </w:rPr>
        <w:t>Programem</w:t>
      </w:r>
      <w:r>
        <w:rPr/>
        <w:t>.</w:t>
      </w:r>
    </w:p>
    <w:p>
      <w:pPr>
        <w:pStyle w:val="Normal"/>
        <w:rPr/>
      </w:pPr>
      <w:r>
        <w:rPr/>
        <w:t>Przed okresem obowiązywania LPR, w latach 2009-2012, realizowany był projekt „Rewitalizacja Starego Miasta w Nowym Miasteczku”. W ramach realizacji projektu poprawiono i doprowadzono infrastrukturę do budynków i miejsc wspólnych, wyremontowano i wybudowano drogi, chodniki i oświetlenie w kwartale ulic między Głogowską, Ogrodową, Kościuszki i południową pierzeją rynku. Ponadto odnowiono nawierzchnie ulic, pozostawiając jednocześnie stare bruki, które nadają charakter centralnej części miasta. W wyniku realizacji projektu poprawie uległa infrastruktura handlowa, powstało nowe przestronne targowisko przy ul. Długiej. Dodatkowo odnowiono zieleń miejską, renowacji poddano zabytkowe kościoły, stworzono także nowe miejsca parkingowe.</w:t>
      </w:r>
    </w:p>
    <w:p>
      <w:pPr>
        <w:pStyle w:val="Normal"/>
        <w:rPr/>
      </w:pPr>
      <w:r>
        <w:rPr/>
        <w:t xml:space="preserve">Dotychczasowe wieloletnie doświadczenia Gminy Nowe Miasteczko związane z różnorodnymi działaniami rewitalizacyjnymi nie tylko oznaczają, że prace nad </w:t>
      </w:r>
      <w:r>
        <w:rPr>
          <w:i/>
          <w:iCs/>
        </w:rPr>
        <w:t>Gminnym Programem Rewitalizacji Gminy Nowe Miasteczko do roku 2035</w:t>
      </w:r>
      <w:r>
        <w:rPr/>
        <w:t xml:space="preserve"> nie rozpoczynają się w próżni, ale pozwalają także na kontynuowanie i rozwijanie wspomnianych działań na jeszcze wyższym poziomie, w ambitnym duchu tzw. „rewitalizacji 2.0”, akcentującym kompleksowość, włączenie społeczne i partycypację. </w:t>
      </w:r>
    </w:p>
    <w:p>
      <w:pPr>
        <w:pStyle w:val="Normal"/>
        <w:rPr/>
      </w:pPr>
      <w:r>
        <w:rPr/>
      </w:r>
    </w:p>
    <w:p>
      <w:pPr>
        <w:pStyle w:val="Heading2"/>
        <w:rPr/>
      </w:pPr>
      <w:bookmarkStart w:id="4" w:name="_Toc216991153"/>
      <w:r>
        <w:rPr/>
        <w:t>1.3. Opis procesu zaangażowania partnerów społeczno-gospodarczych i interesariuszy rewitalizacji na etapie prac nad programem</w:t>
      </w:r>
      <w:bookmarkEnd w:id="4"/>
    </w:p>
    <w:p>
      <w:pPr>
        <w:pStyle w:val="Normal"/>
        <w:rPr/>
      </w:pPr>
      <w:r>
        <w:rPr/>
        <w:t>W całym procesie prac nad GPR i na poprzedzającym go etapie wyznaczenia obszaru zdegradowanego i obszaru rewitalizacji podejmowano różnego rodzaju aktywności w celu zapewnienia szerokiego udziału partnerów społeczno-gospodarczych oraz podmiotów reprezentujących środowiska pozarządowe, w tym podmiotów działających w obszarze społeczeństwa obywatelskiego, ochrony środowiska, włączenia społecznego, praw podstawowych, osób z niepełnosprawnościami czy równości płci i niedyskryminacji. Podmioty te są w dalszej części Programu określane jako „interesariusze rewitalizacji” lub „partnerzy społeczno-gospodarczy”.</w:t>
      </w:r>
    </w:p>
    <w:p>
      <w:pPr>
        <w:pStyle w:val="Normal"/>
        <w:rPr/>
      </w:pPr>
      <w:r>
        <w:rPr/>
        <w:t xml:space="preserve">Od początku prac nad </w:t>
      </w:r>
      <w:r>
        <w:rPr>
          <w:i/>
          <w:iCs/>
        </w:rPr>
        <w:t>Programem</w:t>
      </w:r>
      <w:r>
        <w:rPr/>
        <w:t xml:space="preserve"> interesariusze procesu rewitalizacji byli szeroko informowani o przebiegu konsultacji społecznych oraz o możliwościach udziału w wydarzeniach partycypacyjnych. Do najważniejszych środków i platform komunikacji należały:</w:t>
      </w:r>
    </w:p>
    <w:p>
      <w:pPr>
        <w:pStyle w:val="ListParagraph"/>
        <w:numPr>
          <w:ilvl w:val="0"/>
          <w:numId w:val="6"/>
        </w:numPr>
        <w:suppressAutoHyphens w:val="false"/>
        <w:rPr/>
      </w:pPr>
      <w:r>
        <w:rPr/>
        <w:t>strona internetowa Urzędu Miejskiego w Nowym Miasteczku www.nowemiasteczko.pl, wraz z dedykowaną rewitalizacji zakładką pn. „Rewitalizacja”,</w:t>
      </w:r>
    </w:p>
    <w:p>
      <w:pPr>
        <w:pStyle w:val="ListParagraph"/>
        <w:numPr>
          <w:ilvl w:val="0"/>
          <w:numId w:val="6"/>
        </w:numPr>
        <w:suppressAutoHyphens w:val="false"/>
        <w:rPr/>
      </w:pPr>
      <w:r>
        <w:rPr/>
        <w:t xml:space="preserve">gminny profil na portalu Facebook, </w:t>
      </w:r>
    </w:p>
    <w:p>
      <w:pPr>
        <w:pStyle w:val="ListParagraph"/>
        <w:numPr>
          <w:ilvl w:val="0"/>
          <w:numId w:val="6"/>
        </w:numPr>
        <w:suppressAutoHyphens w:val="false"/>
        <w:rPr/>
      </w:pPr>
      <w:r>
        <w:rPr/>
        <w:t>prasa o zasięgu ponadlokalnym (Gazeta Lubuska),</w:t>
      </w:r>
      <w:r>
        <w:rPr>
          <w:highlight w:val="red"/>
        </w:rPr>
        <w:t xml:space="preserve"> </w:t>
      </w:r>
    </w:p>
    <w:p>
      <w:pPr>
        <w:pStyle w:val="ListParagraph"/>
        <w:numPr>
          <w:ilvl w:val="0"/>
          <w:numId w:val="6"/>
        </w:numPr>
        <w:suppressAutoHyphens w:val="false"/>
        <w:rPr/>
      </w:pPr>
      <w:r>
        <w:rPr/>
        <w:t>plakaty informujące o procesie rewitalizacji, rozmieszczane na terenie Gminy Nowe Miasteczko.</w:t>
      </w:r>
    </w:p>
    <w:p>
      <w:pPr>
        <w:pStyle w:val="Normal"/>
        <w:rPr/>
      </w:pPr>
      <w:r>
        <w:rPr/>
        <w:t xml:space="preserve">W ramach prac nad GPR i poprzedzających je działań, związanych z wyznaczeniem obszaru zdegradowanego i obszaru rewitalizacji, zorganizowano liczne spotkania z interesariuszami. Wymienić należy przede wszystkim: </w:t>
      </w:r>
    </w:p>
    <w:p>
      <w:pPr>
        <w:pStyle w:val="ListParagraph"/>
        <w:numPr>
          <w:ilvl w:val="0"/>
          <w:numId w:val="7"/>
        </w:numPr>
        <w:suppressAutoHyphens w:val="false"/>
        <w:rPr/>
      </w:pPr>
      <w:r>
        <w:rPr/>
        <w:t>w ramach prac nad wyznaczeniem obszaru zdegradowanego i obszaru rewitalizacji:</w:t>
      </w:r>
    </w:p>
    <w:p>
      <w:pPr>
        <w:pStyle w:val="ListParagraph"/>
        <w:numPr>
          <w:ilvl w:val="0"/>
          <w:numId w:val="8"/>
        </w:numPr>
        <w:suppressAutoHyphens w:val="false"/>
        <w:rPr/>
      </w:pPr>
      <w:r>
        <w:rPr/>
        <w:t xml:space="preserve">prezentację obszaru rewitalizacji wraz z dyskusją nt. wyznaczenia obszaru rewitalizacji (2 czerwca 2025 r.); </w:t>
      </w:r>
    </w:p>
    <w:p>
      <w:pPr>
        <w:pStyle w:val="ListParagraph"/>
        <w:numPr>
          <w:ilvl w:val="0"/>
          <w:numId w:val="8"/>
        </w:numPr>
        <w:suppressAutoHyphens w:val="false"/>
        <w:rPr/>
      </w:pPr>
      <w:r>
        <w:rPr/>
        <w:t>prezentację obszaru rewitalizacji oraz debatę na temat problemów oraz potencjałów obszaru rewitalizacji (3 czerwca 2025 r.);</w:t>
      </w:r>
    </w:p>
    <w:p>
      <w:pPr>
        <w:pStyle w:val="ListParagraph"/>
        <w:numPr>
          <w:ilvl w:val="0"/>
          <w:numId w:val="8"/>
        </w:numPr>
        <w:suppressAutoHyphens w:val="false"/>
        <w:rPr/>
      </w:pPr>
      <w:r>
        <w:rPr/>
        <w:t>zbieranie uwag, zarówno drogą elektroniczną, jak i w formie tradycyjnej;</w:t>
      </w:r>
    </w:p>
    <w:p>
      <w:pPr>
        <w:pStyle w:val="ListParagraph"/>
        <w:numPr>
          <w:ilvl w:val="0"/>
          <w:numId w:val="8"/>
        </w:numPr>
        <w:suppressAutoHyphens w:val="false"/>
        <w:rPr/>
      </w:pPr>
      <w:r>
        <w:rPr/>
        <w:t>dyżury konsultacyjne w Urzędzie Miejskim w Nowym Miasteczku;</w:t>
      </w:r>
    </w:p>
    <w:p>
      <w:pPr>
        <w:pStyle w:val="ListParagraph"/>
        <w:rPr/>
      </w:pPr>
      <w:r>
        <w:rPr/>
      </w:r>
    </w:p>
    <w:p>
      <w:pPr>
        <w:pStyle w:val="ListParagraph"/>
        <w:numPr>
          <w:ilvl w:val="0"/>
          <w:numId w:val="7"/>
        </w:numPr>
        <w:suppressAutoHyphens w:val="false"/>
        <w:rPr/>
      </w:pPr>
      <w:r>
        <w:rPr/>
        <w:t xml:space="preserve">w ramach prac nad GPR: </w:t>
      </w:r>
    </w:p>
    <w:p>
      <w:pPr>
        <w:pStyle w:val="ListParagraph"/>
        <w:numPr>
          <w:ilvl w:val="0"/>
          <w:numId w:val="8"/>
        </w:numPr>
        <w:suppressAutoHyphens w:val="false"/>
        <w:rPr/>
      </w:pPr>
      <w:r>
        <w:rPr/>
        <w:t>wywiady grupowe z przedstawicielami Urzędu Gminy Nowe Miasteczko (6 listopada 2025 r.), pracownikami Ośrodka Pomocy Społecznej (6 listopada 2025 r.), przedsiębiorcami, przedstawicielami organizacji pozarządowych oraz przedstawicielami świata kultury (6 listopada 2025 r.), seniorami (7 listopada 2025 r.), rolnikami (7 listopada 2025 r.) i nauczycielami (14 listopada 2025 r.);</w:t>
      </w:r>
    </w:p>
    <w:p>
      <w:pPr>
        <w:pStyle w:val="ListParagraph"/>
        <w:numPr>
          <w:ilvl w:val="0"/>
          <w:numId w:val="8"/>
        </w:numPr>
        <w:suppressAutoHyphens w:val="false"/>
        <w:rPr/>
      </w:pPr>
      <w:r>
        <w:rPr/>
        <w:t>posiedzenie Komisji Wspólnej Rady Miejskiej w Nowym Miasteczku (7 listopada 2025 r.);</w:t>
      </w:r>
    </w:p>
    <w:p>
      <w:pPr>
        <w:pStyle w:val="ListParagraph"/>
        <w:numPr>
          <w:ilvl w:val="0"/>
          <w:numId w:val="8"/>
        </w:numPr>
        <w:suppressAutoHyphens w:val="false"/>
        <w:rPr/>
      </w:pPr>
      <w:r>
        <w:rPr/>
        <w:t>debata oxfordzka z udziałem młodzieży (Zespół Szkół nr 1 w Nowym Miasteczku – 14 listopada 2025 r.);</w:t>
      </w:r>
    </w:p>
    <w:p>
      <w:pPr>
        <w:pStyle w:val="ListParagraph"/>
        <w:numPr>
          <w:ilvl w:val="0"/>
          <w:numId w:val="8"/>
        </w:numPr>
        <w:suppressAutoHyphens w:val="false"/>
        <w:rPr/>
      </w:pPr>
      <w:r>
        <w:rPr/>
        <w:t>spacery badawcze po obszarze rewitalizacji (6 listopada 2025 r. – Nowe Miasteczko, 7 listopada 2025 r. – Nieciecz);</w:t>
      </w:r>
    </w:p>
    <w:p>
      <w:pPr>
        <w:pStyle w:val="ListParagraph"/>
        <w:numPr>
          <w:ilvl w:val="0"/>
          <w:numId w:val="8"/>
        </w:numPr>
        <w:suppressAutoHyphens w:val="false"/>
        <w:rPr/>
      </w:pPr>
      <w:r>
        <w:rPr/>
        <w:t>badanie ankietowe (13 października – 17 listopada 2025 r.) – forma papierowa i elektroniczna – na próbie 147 osób;</w:t>
      </w:r>
    </w:p>
    <w:p>
      <w:pPr>
        <w:pStyle w:val="ListParagraph"/>
        <w:numPr>
          <w:ilvl w:val="0"/>
          <w:numId w:val="8"/>
        </w:numPr>
        <w:suppressAutoHyphens w:val="false"/>
        <w:rPr/>
      </w:pPr>
      <w:r>
        <w:rPr/>
        <w:t>nabór przedsięwzięć rewitalizacyjnych (13 października – 17 listopada 2025 r.) – nie zgłoszono propozycji przedsięwzięć rewitalizacyjnych.</w:t>
      </w:r>
    </w:p>
    <w:p>
      <w:pPr>
        <w:pStyle w:val="Normal"/>
        <w:suppressAutoHyphens w:val="false"/>
        <w:ind w:start="360"/>
        <w:rPr/>
      </w:pPr>
      <w:r>
        <w:rPr/>
      </w:r>
    </w:p>
    <w:p>
      <w:pPr>
        <w:pStyle w:val="Fotografie"/>
        <w:rPr/>
      </w:pPr>
      <w:bookmarkStart w:id="5" w:name="_Toc216991217"/>
      <w:r>
        <w:rPr/>
        <w:t>Fotografia 1. Wydarzenia w ramach prac nad GPR: spotkanie z przedsiębiorcami i przedstawicielami organizacji pozarządowych oraz debata oxfordzka z młodzieżą.</w:t>
      </w:r>
      <w:bookmarkEnd w:id="5"/>
    </w:p>
    <w:p>
      <w:pPr>
        <w:pStyle w:val="Normal"/>
        <w:suppressAutoHyphens w:val="false"/>
        <w:jc w:val="center"/>
        <w:rPr/>
      </w:pPr>
      <w:r>
        <w:rPr/>
        <w:drawing>
          <wp:inline distT="0" distB="0" distL="0" distR="0">
            <wp:extent cx="2808605" cy="2106295"/>
            <wp:effectExtent l="0" t="0" r="0" b="0"/>
            <wp:docPr id="3" name="Obraz 2" descr="Obraz zawierający w pomieszczeniu, ubrania, krzesło, meble&#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2" descr="Obraz zawierający w pomieszczeniu, ubrania, krzesło, meble&#10;&#10;Zawartość wygenerowana przez AI może być niepoprawna." title=""/>
                    <pic:cNvPicPr>
                      <a:picLocks noChangeAspect="1" noChangeArrowheads="1"/>
                    </pic:cNvPicPr>
                  </pic:nvPicPr>
                  <pic:blipFill>
                    <a:blip r:embed="rId8"/>
                    <a:stretch>
                      <a:fillRect/>
                    </a:stretch>
                  </pic:blipFill>
                  <pic:spPr bwMode="auto">
                    <a:xfrm>
                      <a:off x="0" y="0"/>
                      <a:ext cx="2808605" cy="2106295"/>
                    </a:xfrm>
                    <a:prstGeom prst="rect">
                      <a:avLst/>
                    </a:prstGeom>
                    <a:noFill/>
                  </pic:spPr>
                </pic:pic>
              </a:graphicData>
            </a:graphic>
          </wp:inline>
        </w:drawing>
      </w:r>
      <w:r>
        <w:rPr/>
        <w:t xml:space="preserve"> </w:t>
      </w:r>
      <w:r>
        <w:rPr/>
        <w:drawing>
          <wp:inline distT="0" distB="0" distL="0" distR="0">
            <wp:extent cx="2819400" cy="2114550"/>
            <wp:effectExtent l="0" t="0" r="0" b="0"/>
            <wp:docPr id="4" name="Obraz 3" descr="Obraz zawierający ubrania, osoba, w pomieszczeniu, kobieta&#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3" descr="Obraz zawierający ubrania, osoba, w pomieszczeniu, kobieta&#10;&#10;Zawartość wygenerowana przez AI może być niepoprawna." title=""/>
                    <pic:cNvPicPr>
                      <a:picLocks noChangeAspect="1" noChangeArrowheads="1"/>
                    </pic:cNvPicPr>
                  </pic:nvPicPr>
                  <pic:blipFill>
                    <a:blip r:embed="rId9"/>
                    <a:stretch>
                      <a:fillRect/>
                    </a:stretch>
                  </pic:blipFill>
                  <pic:spPr bwMode="auto">
                    <a:xfrm>
                      <a:off x="0" y="0"/>
                      <a:ext cx="2819400" cy="2114550"/>
                    </a:xfrm>
                    <a:prstGeom prst="rect">
                      <a:avLst/>
                    </a:prstGeom>
                    <a:noFill/>
                  </pic:spPr>
                </pic:pic>
              </a:graphicData>
            </a:graphic>
          </wp:inline>
        </w:drawing>
      </w:r>
    </w:p>
    <w:p>
      <w:pPr>
        <w:pStyle w:val="Normal"/>
        <w:rPr/>
      </w:pPr>
      <w:r>
        <w:rPr>
          <w:highlight w:val="yellow"/>
        </w:rPr>
        <w:t>Po konsultacjach społecznych projektu GPR rozdział zostanie uzupełniony o opis ich przebiegu.</w:t>
      </w:r>
      <w:r>
        <w:rPr/>
        <w:t xml:space="preserve"> </w:t>
      </w:r>
    </w:p>
    <w:p>
      <w:pPr>
        <w:pStyle w:val="Heading1"/>
        <w:rPr/>
      </w:pPr>
      <w:bookmarkStart w:id="6" w:name="_Toc216991154"/>
      <w:r>
        <w:rPr/>
        <w:t>2. SZCZEGÓŁOWA DIAGNOZA OBSZARU REWITALIZACJI</w:t>
      </w:r>
      <w:bookmarkEnd w:id="6"/>
    </w:p>
    <w:p>
      <w:pPr>
        <w:pStyle w:val="Heading2"/>
        <w:rPr/>
      </w:pPr>
      <w:bookmarkStart w:id="7" w:name="_Toc216991155"/>
      <w:r>
        <w:rPr/>
        <w:t>2.1. Ogólna charakterystyka obszaru rewitalizacji</w:t>
      </w:r>
      <w:bookmarkEnd w:id="7"/>
    </w:p>
    <w:p>
      <w:pPr>
        <w:pStyle w:val="Normal"/>
        <w:rPr/>
      </w:pPr>
      <w:r>
        <w:rPr/>
        <w:t xml:space="preserve">Granice obszaru rewitalizacji zostały określone uchwałą nr XV/161/2025 Rady Miejskiej w Nowym Miasteczku z dnia 25 czerwca 2025 r. w sprawie wyznaczenia obszaru zdegradowanego i obszaru rewitalizacji Gminy i Miasta Nowe Miasteczko. Obszar ten zajmuje niewiele ponad 6% powierzchni całkowitej i jest zamieszkały przez niemal 28,5% wszystkich mieszkańców gminy (tabela 1). </w:t>
      </w:r>
    </w:p>
    <w:p>
      <w:pPr>
        <w:pStyle w:val="Tabele"/>
        <w:jc w:val="center"/>
        <w:rPr/>
      </w:pPr>
      <w:bookmarkStart w:id="8" w:name="_Toc216991203"/>
      <w:bookmarkStart w:id="9" w:name="_Toc155206914"/>
      <w:bookmarkStart w:id="10" w:name="_Toc212187918"/>
      <w:r>
        <w:rPr/>
        <w:t xml:space="preserve">Tabela </w:t>
      </w:r>
      <w:r>
        <w:rPr/>
        <w:fldChar w:fldCharType="begin"/>
      </w:r>
      <w:r>
        <w:rPr/>
        <w:instrText xml:space="preserve"> SEQ Tabela \* ARABIC </w:instrText>
      </w:r>
      <w:r>
        <w:rPr/>
        <w:fldChar w:fldCharType="separate"/>
      </w:r>
      <w:r>
        <w:rPr/>
        <w:t>1</w:t>
      </w:r>
      <w:r>
        <w:rPr/>
        <w:fldChar w:fldCharType="end"/>
      </w:r>
      <w:r>
        <w:rPr/>
        <w:t>. Powierzchnia i liczba ludności obszaru rewitalizacji na tle Gminy Nowe Miasteczko (2024)</w:t>
      </w:r>
      <w:bookmarkEnd w:id="8"/>
      <w:bookmarkEnd w:id="9"/>
      <w:bookmarkEnd w:id="10"/>
    </w:p>
    <w:tbl>
      <w:tblPr>
        <w:tblStyle w:val="Tabelasiatki1jasna1"/>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2269"/>
        <w:gridCol w:w="2262"/>
        <w:gridCol w:w="2269"/>
        <w:gridCol w:w="2261"/>
      </w:tblGrid>
      <w:tr>
        <w:trPr>
          <w:cnfStyle w:val="100000000000" w:firstRow="1" w:lastRow="0" w:firstColumn="0" w:lastColumn="0" w:oddVBand="0" w:evenVBand="0" w:oddHBand="0" w:evenHBand="0" w:firstRowFirstColumn="0" w:firstRowLastColumn="0" w:lastRowFirstColumn="0" w:lastRowLastColumn="0"/>
        </w:trPr>
        <w:tc>
          <w:tcPr>
            <w:tcW w:w="2269" w:type="dxa"/>
            <w:cnfStyle w:val="001000000000" w:firstRow="0" w:lastRow="0" w:firstColumn="1" w:lastColumn="0" w:oddVBand="0" w:evenVBand="0" w:oddHBand="0" w:evenHBand="0" w:firstRowFirstColumn="0" w:firstRowLastColumn="0" w:lastRowFirstColumn="0" w:lastRowLastColumn="0"/>
            <w:tcBorders>
              <w:bottom w:val="single" w:sz="12" w:space="0" w:color="666666"/>
            </w:tcBorders>
          </w:tcPr>
          <w:p>
            <w:pPr>
              <w:pStyle w:val="Normal"/>
              <w:widowControl w:val="false"/>
              <w:suppressAutoHyphens w:val="true"/>
              <w:spacing w:before="60" w:after="60"/>
              <w:rPr>
                <w:color w:themeColor="accent2" w:val="ED7D31"/>
                <w:sz w:val="18"/>
              </w:rPr>
            </w:pPr>
            <w:r>
              <w:rPr>
                <w:rFonts w:eastAsia="Aptos" w:cs=""/>
                <w:b/>
                <w:bCs/>
                <w:color w:themeColor="accent2" w:val="ED7D31"/>
                <w:kern w:val="2"/>
                <w:sz w:val="18"/>
                <w:szCs w:val="22"/>
                <w:lang w:val="pl-PL" w:eastAsia="en-US" w:bidi="ar-SA"/>
              </w:rPr>
            </w:r>
          </w:p>
        </w:tc>
        <w:tc>
          <w:tcPr>
            <w:tcW w:w="2262" w:type="dxa"/>
            <w:tcBorders>
              <w:bottom w:val="single" w:sz="12" w:space="0" w:color="666666"/>
            </w:tcBorders>
          </w:tcPr>
          <w:p>
            <w:pPr>
              <w:pStyle w:val="Normal"/>
              <w:widowControl w:val="false"/>
              <w:suppressAutoHyphens w:val="true"/>
              <w:spacing w:before="60" w:after="60"/>
              <w:jc w:val="center"/>
              <w:cnfStyle w:val="100000000000" w:firstRow="1" w:lastRow="0" w:firstColumn="0" w:lastColumn="0" w:oddVBand="0" w:evenVBand="0" w:oddHBand="0" w:evenHBand="0" w:firstRowFirstColumn="0" w:firstRowLastColumn="0" w:lastRowFirstColumn="0" w:lastRowLastColumn="0"/>
              <w:rPr>
                <w:b w:val="false"/>
                <w:bCs w:val="false"/>
                <w:sz w:val="18"/>
              </w:rPr>
            </w:pPr>
            <w:r>
              <w:rPr>
                <w:rFonts w:eastAsia="Aptos" w:cs=""/>
                <w:b/>
                <w:bCs/>
                <w:kern w:val="0"/>
                <w:sz w:val="18"/>
                <w:szCs w:val="22"/>
                <w:lang w:val="pl-PL" w:eastAsia="en-US" w:bidi="ar-SA"/>
              </w:rPr>
              <w:t>Obszar rewitalizacji</w:t>
            </w:r>
          </w:p>
        </w:tc>
        <w:tc>
          <w:tcPr>
            <w:tcW w:w="2269" w:type="dxa"/>
            <w:tcBorders>
              <w:bottom w:val="single" w:sz="12" w:space="0" w:color="666666"/>
            </w:tcBorders>
          </w:tcPr>
          <w:p>
            <w:pPr>
              <w:pStyle w:val="Normal"/>
              <w:widowControl w:val="false"/>
              <w:suppressAutoHyphens w:val="true"/>
              <w:spacing w:before="60" w:after="60"/>
              <w:jc w:val="center"/>
              <w:cnfStyle w:val="100000000000" w:firstRow="1" w:lastRow="0" w:firstColumn="0" w:lastColumn="0" w:oddVBand="0" w:evenVBand="0" w:oddHBand="0" w:evenHBand="0" w:firstRowFirstColumn="0" w:firstRowLastColumn="0" w:lastRowFirstColumn="0" w:lastRowLastColumn="0"/>
              <w:rPr>
                <w:b w:val="false"/>
                <w:bCs w:val="false"/>
                <w:sz w:val="18"/>
              </w:rPr>
            </w:pPr>
            <w:r>
              <w:rPr>
                <w:rFonts w:eastAsia="Aptos" w:cs=""/>
                <w:b/>
                <w:bCs/>
                <w:kern w:val="0"/>
                <w:sz w:val="18"/>
                <w:szCs w:val="22"/>
                <w:lang w:val="pl-PL" w:eastAsia="en-US" w:bidi="ar-SA"/>
              </w:rPr>
              <w:t>Gmina Nowe Miasteczko</w:t>
            </w:r>
          </w:p>
        </w:tc>
        <w:tc>
          <w:tcPr>
            <w:tcW w:w="2261" w:type="dxa"/>
            <w:tcBorders>
              <w:bottom w:val="single" w:sz="12" w:space="0" w:color="666666"/>
            </w:tcBorders>
          </w:tcPr>
          <w:p>
            <w:pPr>
              <w:pStyle w:val="Normal"/>
              <w:widowControl w:val="false"/>
              <w:suppressAutoHyphens w:val="true"/>
              <w:spacing w:before="60" w:after="60"/>
              <w:jc w:val="center"/>
              <w:cnfStyle w:val="100000000000" w:firstRow="1" w:lastRow="0" w:firstColumn="0" w:lastColumn="0" w:oddVBand="0" w:evenVBand="0" w:oddHBand="0" w:evenHBand="0" w:firstRowFirstColumn="0" w:firstRowLastColumn="0" w:lastRowFirstColumn="0" w:lastRowLastColumn="0"/>
              <w:rPr>
                <w:b w:val="false"/>
                <w:bCs w:val="false"/>
                <w:sz w:val="18"/>
              </w:rPr>
            </w:pPr>
            <w:r>
              <w:rPr>
                <w:rFonts w:eastAsia="Aptos" w:cs=""/>
                <w:b/>
                <w:bCs/>
                <w:kern w:val="0"/>
                <w:sz w:val="18"/>
                <w:szCs w:val="22"/>
                <w:lang w:val="pl-PL" w:eastAsia="en-US" w:bidi="ar-SA"/>
              </w:rPr>
              <w:t>Udział na tle gminy</w:t>
            </w:r>
          </w:p>
        </w:tc>
      </w:tr>
      <w:tr>
        <w:trPr/>
        <w:tc>
          <w:tcPr>
            <w:tcW w:w="2269"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60" w:after="60"/>
              <w:rPr>
                <w:b w:val="false"/>
                <w:bCs w:val="false"/>
                <w:sz w:val="18"/>
              </w:rPr>
            </w:pPr>
            <w:r>
              <w:rPr>
                <w:rFonts w:eastAsia="Aptos" w:cs=""/>
                <w:b/>
                <w:bCs/>
                <w:kern w:val="0"/>
                <w:sz w:val="18"/>
                <w:szCs w:val="22"/>
                <w:lang w:val="pl-PL" w:eastAsia="en-US" w:bidi="ar-SA"/>
              </w:rPr>
              <w:t>Liczba mieszkańców</w:t>
            </w:r>
          </w:p>
        </w:tc>
        <w:tc>
          <w:tcPr>
            <w:tcW w:w="2262" w:type="dxa"/>
            <w:tcBorders/>
          </w:tcPr>
          <w:p>
            <w:pPr>
              <w:pStyle w:val="Normal"/>
              <w:widowControl w:val="false"/>
              <w:suppressAutoHyphens w:val="true"/>
              <w:spacing w:before="60" w:after="60"/>
              <w:jc w:val="center"/>
              <w:cnfStyle w:val="000000000000" w:firstRow="0" w:lastRow="0" w:firstColumn="0" w:lastColumn="0" w:oddVBand="0" w:evenVBand="0" w:oddHBand="0" w:evenHBand="0" w:firstRowFirstColumn="0" w:firstRowLastColumn="0" w:lastRowFirstColumn="0" w:lastRowLastColumn="0"/>
              <w:rPr>
                <w:sz w:val="18"/>
              </w:rPr>
            </w:pPr>
            <w:r>
              <w:rPr>
                <w:rFonts w:eastAsia="Aptos" w:cs=""/>
                <w:kern w:val="0"/>
                <w:sz w:val="18"/>
                <w:szCs w:val="22"/>
                <w:lang w:val="pl-PL" w:eastAsia="en-US" w:bidi="ar-SA"/>
              </w:rPr>
              <w:t>1 414</w:t>
            </w:r>
          </w:p>
        </w:tc>
        <w:tc>
          <w:tcPr>
            <w:tcW w:w="2269" w:type="dxa"/>
            <w:tcBorders/>
          </w:tcPr>
          <w:p>
            <w:pPr>
              <w:pStyle w:val="Normal"/>
              <w:widowControl w:val="false"/>
              <w:suppressAutoHyphens w:val="true"/>
              <w:spacing w:before="60" w:after="60"/>
              <w:jc w:val="center"/>
              <w:cnfStyle w:val="000000000000" w:firstRow="0" w:lastRow="0" w:firstColumn="0" w:lastColumn="0" w:oddVBand="0" w:evenVBand="0" w:oddHBand="0" w:evenHBand="0" w:firstRowFirstColumn="0" w:firstRowLastColumn="0" w:lastRowFirstColumn="0" w:lastRowLastColumn="0"/>
              <w:rPr>
                <w:sz w:val="18"/>
              </w:rPr>
            </w:pPr>
            <w:r>
              <w:rPr>
                <w:rFonts w:eastAsia="Aptos" w:cs=""/>
                <w:kern w:val="0"/>
                <w:sz w:val="18"/>
                <w:szCs w:val="22"/>
                <w:lang w:val="pl-PL" w:eastAsia="en-US" w:bidi="ar-SA"/>
              </w:rPr>
              <w:t>4 964</w:t>
            </w:r>
          </w:p>
        </w:tc>
        <w:tc>
          <w:tcPr>
            <w:tcW w:w="2261" w:type="dxa"/>
            <w:tcBorders/>
          </w:tcPr>
          <w:p>
            <w:pPr>
              <w:pStyle w:val="Normal"/>
              <w:widowControl w:val="false"/>
              <w:suppressAutoHyphens w:val="true"/>
              <w:spacing w:before="60" w:after="60"/>
              <w:jc w:val="center"/>
              <w:cnfStyle w:val="000000000000" w:firstRow="0" w:lastRow="0" w:firstColumn="0" w:lastColumn="0" w:oddVBand="0" w:evenVBand="0" w:oddHBand="0" w:evenHBand="0" w:firstRowFirstColumn="0" w:firstRowLastColumn="0" w:lastRowFirstColumn="0" w:lastRowLastColumn="0"/>
              <w:rPr>
                <w:sz w:val="18"/>
              </w:rPr>
            </w:pPr>
            <w:r>
              <w:rPr>
                <w:rFonts w:eastAsia="Aptos" w:cs=""/>
                <w:kern w:val="0"/>
                <w:sz w:val="18"/>
                <w:szCs w:val="22"/>
                <w:lang w:val="pl-PL" w:eastAsia="en-US" w:bidi="ar-SA"/>
              </w:rPr>
              <w:t>28,49%</w:t>
            </w:r>
          </w:p>
        </w:tc>
      </w:tr>
      <w:tr>
        <w:trPr/>
        <w:tc>
          <w:tcPr>
            <w:tcW w:w="2269"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60" w:after="60"/>
              <w:rPr>
                <w:b w:val="false"/>
                <w:bCs w:val="false"/>
                <w:sz w:val="18"/>
              </w:rPr>
            </w:pPr>
            <w:r>
              <w:rPr>
                <w:rFonts w:eastAsia="Aptos" w:cs=""/>
                <w:b/>
                <w:bCs/>
                <w:kern w:val="0"/>
                <w:sz w:val="18"/>
                <w:szCs w:val="22"/>
                <w:lang w:val="pl-PL" w:eastAsia="en-US" w:bidi="ar-SA"/>
              </w:rPr>
              <w:t>Powierzchnia [km</w:t>
            </w:r>
            <w:r>
              <w:rPr>
                <w:rFonts w:eastAsia="Aptos" w:cs=""/>
                <w:b/>
                <w:bCs/>
                <w:kern w:val="0"/>
                <w:sz w:val="18"/>
                <w:szCs w:val="22"/>
                <w:vertAlign w:val="superscript"/>
                <w:lang w:val="pl-PL" w:eastAsia="en-US" w:bidi="ar-SA"/>
              </w:rPr>
              <w:t>2</w:t>
            </w:r>
            <w:r>
              <w:rPr>
                <w:rFonts w:eastAsia="Aptos" w:cs=""/>
                <w:b/>
                <w:bCs/>
                <w:kern w:val="0"/>
                <w:sz w:val="18"/>
                <w:szCs w:val="22"/>
                <w:lang w:val="pl-PL" w:eastAsia="en-US" w:bidi="ar-SA"/>
              </w:rPr>
              <w:t>]</w:t>
            </w:r>
          </w:p>
        </w:tc>
        <w:tc>
          <w:tcPr>
            <w:tcW w:w="2262" w:type="dxa"/>
            <w:tcBorders/>
          </w:tcPr>
          <w:p>
            <w:pPr>
              <w:pStyle w:val="Normal"/>
              <w:widowControl w:val="false"/>
              <w:suppressAutoHyphens w:val="true"/>
              <w:spacing w:before="60" w:after="60"/>
              <w:jc w:val="center"/>
              <w:cnfStyle w:val="000000000000" w:firstRow="0" w:lastRow="0" w:firstColumn="0" w:lastColumn="0" w:oddVBand="0" w:evenVBand="0" w:oddHBand="0" w:evenHBand="0" w:firstRowFirstColumn="0" w:firstRowLastColumn="0" w:lastRowFirstColumn="0" w:lastRowLastColumn="0"/>
              <w:rPr>
                <w:sz w:val="18"/>
              </w:rPr>
            </w:pPr>
            <w:r>
              <w:rPr>
                <w:rFonts w:eastAsia="Aptos" w:cs=""/>
                <w:kern w:val="0"/>
                <w:sz w:val="18"/>
                <w:szCs w:val="22"/>
                <w:lang w:val="pl-PL" w:eastAsia="en-US" w:bidi="ar-SA"/>
              </w:rPr>
              <w:t>4,68</w:t>
            </w:r>
          </w:p>
        </w:tc>
        <w:tc>
          <w:tcPr>
            <w:tcW w:w="2269" w:type="dxa"/>
            <w:tcBorders/>
          </w:tcPr>
          <w:p>
            <w:pPr>
              <w:pStyle w:val="Normal"/>
              <w:widowControl w:val="false"/>
              <w:suppressAutoHyphens w:val="true"/>
              <w:spacing w:before="60" w:after="60"/>
              <w:jc w:val="center"/>
              <w:cnfStyle w:val="000000000000" w:firstRow="0" w:lastRow="0" w:firstColumn="0" w:lastColumn="0" w:oddVBand="0" w:evenVBand="0" w:oddHBand="0" w:evenHBand="0" w:firstRowFirstColumn="0" w:firstRowLastColumn="0" w:lastRowFirstColumn="0" w:lastRowLastColumn="0"/>
              <w:rPr>
                <w:sz w:val="18"/>
              </w:rPr>
            </w:pPr>
            <w:r>
              <w:rPr>
                <w:rFonts w:eastAsia="Aptos" w:cs=""/>
                <w:kern w:val="0"/>
                <w:sz w:val="18"/>
                <w:szCs w:val="22"/>
                <w:lang w:val="pl-PL" w:eastAsia="en-US" w:bidi="ar-SA"/>
              </w:rPr>
              <w:t>77,1</w:t>
            </w:r>
          </w:p>
        </w:tc>
        <w:tc>
          <w:tcPr>
            <w:tcW w:w="2261" w:type="dxa"/>
            <w:tcBorders/>
          </w:tcPr>
          <w:p>
            <w:pPr>
              <w:pStyle w:val="Normal"/>
              <w:widowControl w:val="false"/>
              <w:suppressAutoHyphens w:val="true"/>
              <w:spacing w:before="60" w:after="60"/>
              <w:jc w:val="center"/>
              <w:cnfStyle w:val="000000000000" w:firstRow="0" w:lastRow="0" w:firstColumn="0" w:lastColumn="0" w:oddVBand="0" w:evenVBand="0" w:oddHBand="0" w:evenHBand="0" w:firstRowFirstColumn="0" w:firstRowLastColumn="0" w:lastRowFirstColumn="0" w:lastRowLastColumn="0"/>
              <w:rPr>
                <w:sz w:val="18"/>
              </w:rPr>
            </w:pPr>
            <w:r>
              <w:rPr>
                <w:rFonts w:eastAsia="Aptos" w:cs=""/>
                <w:kern w:val="0"/>
                <w:sz w:val="18"/>
                <w:szCs w:val="22"/>
                <w:lang w:val="pl-PL" w:eastAsia="en-US" w:bidi="ar-SA"/>
              </w:rPr>
              <w:t>6,07%</w:t>
            </w:r>
          </w:p>
        </w:tc>
      </w:tr>
    </w:tbl>
    <w:p>
      <w:pPr>
        <w:pStyle w:val="caption1"/>
        <w:spacing w:before="60" w:after="120"/>
        <w:rPr>
          <w:rFonts w:eastAsia="Verdana-Bold" w:cs="Arial"/>
          <w:i w:val="false"/>
          <w:i w:val="false"/>
          <w:iCs w:val="false"/>
          <w:color w:val="000000"/>
          <w:kern w:val="0"/>
        </w:rPr>
      </w:pPr>
      <w:r>
        <w:rPr>
          <w:rFonts w:eastAsia="Verdana-Bold" w:cs="Arial"/>
          <w:i w:val="false"/>
          <w:iCs w:val="false"/>
          <w:color w:val="000000"/>
          <w:kern w:val="0"/>
        </w:rPr>
        <w:t>Źródło: Diagnoza i wyznaczenie obszaru zdegradowanego i obszaru rewitalizacji Gminy Nowe Miasteczko</w:t>
      </w:r>
    </w:p>
    <w:p>
      <w:pPr>
        <w:pStyle w:val="Normal"/>
        <w:rPr/>
      </w:pPr>
      <w:r>
        <w:rPr/>
      </w:r>
    </w:p>
    <w:p>
      <w:pPr>
        <w:pStyle w:val="Normal"/>
        <w:rPr/>
      </w:pPr>
      <w:r>
        <w:rPr/>
        <w:t>Obszar rewitalizacji obejmuje dwie części. Pierwsza z nich zlokalizowana jest w części miejskiej Nowego Miasteczka. Obejmuje centralny, historyczny fragment gminy z Rynkiem i jego bezpośrednim sąsiedztwem, przyległe tereny mieszkalne, a także obiekty przemysłowe i usługowe, będące kluczem do rozwoju społecznego, kulturowego i gospodarczego miasta. Drugą część obszaru rewitalizacji stanowi całe sołectwo Nieciecz, które nie sąsiaduje z częścią miejską Nowego Miasteczka.</w:t>
      </w:r>
    </w:p>
    <w:p>
      <w:pPr>
        <w:pStyle w:val="Normal"/>
        <w:rPr/>
      </w:pPr>
      <w:r>
        <w:rPr/>
        <w:t>Głównym punktem obszaru rewitalizacji w Nowy Miasteczku jest Rynek, przy którym znajduje się szereg ważnych dla gminy budynków. Jest to przestrzeń o dużym znaczeniu historycznym, obejmująca m.in. zabytkowy Ratusz, który również obecnie jest siedzibą władz gminy. Obiekt wzniesiony w połowie XVII wieku jest jednym z najważniejszych zabytków miasta. Ponadto w Rynku znajdują się kamienice śródmiejskie o funkcji usługowo-mieszkaniowej z parterami handlowymi i mieszkaniami usytuowanymi powyżej. W niedalekim sąsiedztwie znajduje się kościół pw. Opatrzności Bożej, wzniesiony jako świątynia ewangelicka w II połowie XVIII wieku, a także kościół pw. Świętej Marii Magdaleny, którego historia sięga XIV wieku. Poza tym na terenie objętym rewitalizacją dominuje zabudowa mieszkalna jednorodzinna lub śródmiejska.</w:t>
      </w:r>
      <w:r>
        <w:rPr>
          <w:color w:themeColor="accent2" w:val="ED7D31"/>
        </w:rPr>
        <w:t xml:space="preserve"> </w:t>
      </w:r>
    </w:p>
    <w:p>
      <w:pPr>
        <w:pStyle w:val="Normal"/>
        <w:rPr/>
      </w:pPr>
      <w:r>
        <w:rPr/>
        <w:t xml:space="preserve">W obszarze rewitalizacji w Nowym Miasteczku mieszczą się również instytucje kultury i edukacji, takie jak Gminny Ośrodek Kultury czy Zespół Szkół nr 1, które pełnią istotną funkcję integracyjną i animacyjną w życiu lokalnej społeczności. Ważnym punktem spotkań i rekreacji mieszkańców jest kompleks sportowy, mieszczący się w południowo-wschodniej części obszaru rewitalizacji w Nowym Miasteczku. Zachodnia część obszaru zdominowana jest przez tereny przemysłowe, znajduje się tam również dawny dworzec kolejowy. </w:t>
      </w:r>
    </w:p>
    <w:p>
      <w:pPr>
        <w:pStyle w:val="Ryciny"/>
        <w:jc w:val="center"/>
        <w:rPr/>
      </w:pPr>
      <w:r>
        <w:rPr/>
      </w:r>
      <w:bookmarkStart w:id="11" w:name="_Toc212187906"/>
      <w:bookmarkStart w:id="12" w:name="_Toc212187906"/>
    </w:p>
    <w:p>
      <w:pPr>
        <w:pStyle w:val="Ryciny"/>
        <w:jc w:val="center"/>
        <w:rPr/>
      </w:pPr>
      <w:r>
        <w:rPr/>
      </w:r>
    </w:p>
    <w:p>
      <w:pPr>
        <w:pStyle w:val="Ryciny"/>
        <w:jc w:val="center"/>
        <w:rPr/>
      </w:pPr>
      <w:r>
        <w:rPr/>
      </w:r>
    </w:p>
    <w:p>
      <w:pPr>
        <w:pStyle w:val="Ryciny"/>
        <w:jc w:val="center"/>
        <w:rPr/>
      </w:pPr>
      <w:r>
        <w:rPr/>
      </w:r>
    </w:p>
    <w:p>
      <w:pPr>
        <w:pStyle w:val="Ryciny"/>
        <w:jc w:val="center"/>
        <w:rPr/>
      </w:pPr>
      <w:r>
        <w:rPr/>
      </w:r>
    </w:p>
    <w:p>
      <w:pPr>
        <w:pStyle w:val="Ryciny"/>
        <w:jc w:val="center"/>
        <w:rPr/>
      </w:pPr>
      <w:r>
        <w:rPr/>
      </w:r>
    </w:p>
    <w:p>
      <w:pPr>
        <w:pStyle w:val="Ryciny"/>
        <w:jc w:val="center"/>
        <w:rPr/>
      </w:pPr>
      <w:r>
        <w:rPr/>
      </w:r>
    </w:p>
    <w:p>
      <w:pPr>
        <w:pStyle w:val="Ryciny"/>
        <w:jc w:val="center"/>
        <w:rPr/>
      </w:pPr>
      <w:r>
        <w:rPr/>
      </w:r>
    </w:p>
    <w:p>
      <w:pPr>
        <w:pStyle w:val="Ryciny"/>
        <w:jc w:val="center"/>
        <w:rPr/>
      </w:pPr>
      <w:r>
        <w:rPr/>
      </w:r>
    </w:p>
    <w:p>
      <w:pPr>
        <w:pStyle w:val="Ryciny"/>
        <w:jc w:val="center"/>
        <w:rPr/>
      </w:pPr>
      <w:r>
        <w:rPr/>
      </w:r>
    </w:p>
    <w:p>
      <w:pPr>
        <w:pStyle w:val="Ryciny"/>
        <w:jc w:val="center"/>
        <w:rPr/>
      </w:pPr>
      <w:r>
        <w:rPr/>
      </w:r>
    </w:p>
    <w:p>
      <w:pPr>
        <w:pStyle w:val="Ryciny"/>
        <w:jc w:val="center"/>
        <w:rPr/>
      </w:pPr>
      <w:r>
        <w:rPr/>
      </w:r>
    </w:p>
    <w:p>
      <w:pPr>
        <w:pStyle w:val="Ryciny"/>
        <w:jc w:val="center"/>
        <w:rPr/>
      </w:pPr>
      <w:r>
        <w:rPr/>
      </w:r>
    </w:p>
    <w:p>
      <w:pPr>
        <w:pStyle w:val="Ryciny"/>
        <w:jc w:val="center"/>
        <w:rPr/>
      </w:pPr>
      <w:r>
        <w:rPr/>
      </w:r>
    </w:p>
    <w:p>
      <w:pPr>
        <w:pStyle w:val="Ryciny"/>
        <w:jc w:val="center"/>
        <w:rPr/>
      </w:pPr>
      <w:r>
        <w:rPr/>
      </w:r>
    </w:p>
    <w:p>
      <w:pPr>
        <w:pStyle w:val="Ryciny"/>
        <w:jc w:val="center"/>
        <w:rPr/>
      </w:pPr>
      <w:bookmarkStart w:id="13" w:name="_Toc216991210"/>
      <w:r>
        <w:rPr/>
        <w:t xml:space="preserve">Rycina </w:t>
      </w:r>
      <w:r>
        <w:rPr/>
        <w:fldChar w:fldCharType="begin"/>
      </w:r>
      <w:r>
        <w:rPr/>
        <w:instrText xml:space="preserve"> SEQ Rycina \* ARABIC </w:instrText>
      </w:r>
      <w:r>
        <w:rPr/>
        <w:fldChar w:fldCharType="separate"/>
      </w:r>
      <w:r>
        <w:rPr/>
        <w:t>1</w:t>
      </w:r>
      <w:r>
        <w:rPr/>
        <w:fldChar w:fldCharType="end"/>
      </w:r>
      <w:r>
        <w:rPr/>
        <w:t xml:space="preserve">. Granice obszaru rewitalizacji obejmującego część </w:t>
      </w:r>
      <w:bookmarkEnd w:id="12"/>
      <w:r>
        <w:rPr/>
        <w:t>Nowego Miasteczka</w:t>
      </w:r>
      <w:bookmarkEnd w:id="13"/>
    </w:p>
    <w:p>
      <w:pPr>
        <w:pStyle w:val="Normal"/>
        <w:rPr/>
      </w:pPr>
      <w:r>
        <w:rPr/>
        <w:drawing>
          <wp:inline distT="0" distB="0" distL="0" distR="0">
            <wp:extent cx="5760720" cy="4061460"/>
            <wp:effectExtent l="0" t="0" r="0" b="0"/>
            <wp:docPr id="5" name="Obraz5" descr="Obraz zawierający mapa, tekst, atlas, diagram&#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5" descr="Obraz zawierający mapa, tekst, atlas, diagram&#10;&#10;Zawartość wygenerowana przez AI może być niepoprawna." title=""/>
                    <pic:cNvPicPr>
                      <a:picLocks noChangeAspect="1" noChangeArrowheads="1"/>
                    </pic:cNvPicPr>
                  </pic:nvPicPr>
                  <pic:blipFill>
                    <a:blip r:embed="rId10"/>
                    <a:stretch>
                      <a:fillRect/>
                    </a:stretch>
                  </pic:blipFill>
                  <pic:spPr bwMode="auto">
                    <a:xfrm>
                      <a:off x="0" y="0"/>
                      <a:ext cx="5760720" cy="4061460"/>
                    </a:xfrm>
                    <a:prstGeom prst="rect">
                      <a:avLst/>
                    </a:prstGeom>
                    <a:noFill/>
                  </pic:spPr>
                </pic:pic>
              </a:graphicData>
            </a:graphic>
          </wp:inline>
        </w:drawing>
      </w:r>
    </w:p>
    <w:p>
      <w:pPr>
        <w:pStyle w:val="Normal"/>
        <w:rPr>
          <w:rFonts w:eastAsia="Verdana-Bold" w:cs="Arial"/>
          <w:color w:val="000000"/>
          <w:sz w:val="18"/>
          <w:szCs w:val="18"/>
        </w:rPr>
      </w:pPr>
      <w:r>
        <w:rPr>
          <w:rFonts w:eastAsia="Verdana-Bold" w:cs="Arial"/>
          <w:color w:val="000000"/>
          <w:sz w:val="18"/>
          <w:szCs w:val="18"/>
        </w:rPr>
        <w:t>Źródło: opracowanie własne na podstawie uchwały nr XV/161/2025 Rady Miejskiej w Nowym Miasteczku z dnia 25 czerwca 2025 r. w sprawie wyznaczenia obszaru zdegradowanego i obszaru rewitalizacji Gminy i Miasta Nowe Miasteczko</w:t>
      </w:r>
    </w:p>
    <w:p>
      <w:pPr>
        <w:pStyle w:val="Normal"/>
        <w:rPr/>
      </w:pPr>
      <w:r>
        <w:rPr/>
        <w:t>Granice obszaru rewitalizacji w Nowym Miasteczku (rycina 1) wyznaczają w ogólnym zarysie: od północy – ul. Szosa Bytomska, ul. Moniuszki; od zachodu – ul. Dworcowa; od południa – ul. Marcinkowskiego; od wschodu – ul. Głogowska, ul. Kopernika, ul. Sienkiewicza. Niewielka część znajdująca się w środku tak wytyczonego obrębu została wyłączona z obszaru rewitalizacji ze względu na fakt, iż tzw. wskaźniki delimitacyjne przyjęły tam wartości, które nie świadczyły o występowaniu sytuacji kryzysowej.</w:t>
      </w:r>
    </w:p>
    <w:p>
      <w:pPr>
        <w:pStyle w:val="Normal"/>
        <w:rPr/>
      </w:pPr>
      <w:r>
        <w:rPr/>
        <w:t>Na obszarze rewitalizacji w Nowym Miasteczku mają swoje siedziby liczne instytucje publiczne ważne dla życia Nowego Miasteczka, w tym m.in. Urząd Miejski w Nowym Miasteczku. Wiele z nich podejmuje cykliczne aktywności integracyjne, sportowe, edukacyjne i kulturalne, od lat wpisujące się w cele procesu rewitalizacji Gminy Nowe Miasteczko. Do najważniejszych z tych instytucji należą: Gminny Ośrodek Kultury wraz z Biblioteką Publiczną przy ul. Kościuszki, Zespół Szkół nr 1 w Nowym Miasteczku przy ul. Marcinkowskiego, Ośrodek Pomocy Społecznej przy ul. 22 Lipca. Na obszarze rewitalizacji znajdują się także siedziby Ochotniczej Straży Pożarnej, jak również organizacji pozarządowych, np. Fundacji Porozumienie Wzgórz Dalkowskich.</w:t>
      </w:r>
    </w:p>
    <w:p>
      <w:pPr>
        <w:pStyle w:val="Ryciny"/>
        <w:jc w:val="center"/>
        <w:rPr/>
      </w:pPr>
      <w:bookmarkStart w:id="14" w:name="_Toc216991211"/>
      <w:r>
        <w:rPr/>
        <w:t>Rycina 2. Granice obszaru rewitalizacji obejmującego sołectwo Nieciecz</w:t>
      </w:r>
      <w:bookmarkEnd w:id="14"/>
    </w:p>
    <w:p>
      <w:pPr>
        <w:pStyle w:val="Normal"/>
        <w:jc w:val="center"/>
        <w:rPr/>
      </w:pPr>
      <w:r>
        <w:rPr/>
        <w:drawing>
          <wp:inline distT="0" distB="0" distL="0" distR="0">
            <wp:extent cx="4715510" cy="5278755"/>
            <wp:effectExtent l="0" t="0" r="0" b="0"/>
            <wp:docPr id="6" name="Obraz6" descr="Obraz zawierający mapa, diagram, tekst, atlas&#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6" descr="Obraz zawierający mapa, diagram, tekst, atlas&#10;&#10;Zawartość wygenerowana przez AI może być niepoprawna." title=""/>
                    <pic:cNvPicPr>
                      <a:picLocks noChangeAspect="1" noChangeArrowheads="1"/>
                    </pic:cNvPicPr>
                  </pic:nvPicPr>
                  <pic:blipFill>
                    <a:blip r:embed="rId11"/>
                    <a:stretch>
                      <a:fillRect/>
                    </a:stretch>
                  </pic:blipFill>
                  <pic:spPr bwMode="auto">
                    <a:xfrm>
                      <a:off x="0" y="0"/>
                      <a:ext cx="4715510" cy="5278755"/>
                    </a:xfrm>
                    <a:prstGeom prst="rect">
                      <a:avLst/>
                    </a:prstGeom>
                    <a:noFill/>
                  </pic:spPr>
                </pic:pic>
              </a:graphicData>
            </a:graphic>
          </wp:inline>
        </w:drawing>
      </w:r>
    </w:p>
    <w:p>
      <w:pPr>
        <w:pStyle w:val="Normal"/>
        <w:rPr>
          <w:rFonts w:eastAsia="Verdana-Bold" w:cs="Arial"/>
          <w:color w:val="000000"/>
          <w:sz w:val="18"/>
          <w:szCs w:val="18"/>
        </w:rPr>
      </w:pPr>
      <w:r>
        <w:rPr>
          <w:rFonts w:eastAsia="Verdana-Bold" w:cs="Arial"/>
          <w:color w:val="000000"/>
          <w:sz w:val="18"/>
          <w:szCs w:val="18"/>
        </w:rPr>
        <w:t>Źródło: opracowanie własne na podstawie uchwały nr XV/161/2025 Rady Miejskiej w Nowym Miasteczku z dnia 25 czerwca 2025 r. w sprawie wyznaczenia obszaru zdegradowanego i obszaru rewitalizacji Gminy i Miasta Nowe Miasteczko</w:t>
      </w:r>
    </w:p>
    <w:p>
      <w:pPr>
        <w:pStyle w:val="Normal"/>
        <w:rPr>
          <w:color w:themeColor="accent2" w:val="ED7D31"/>
        </w:rPr>
      </w:pPr>
      <w:r>
        <w:rPr/>
        <w:t>Obszar rewitalizacji w Niecieczy (rycina 2) obejmuje całość sołectwa zamieszkanego przez 144 osoby. Jest to obszar typowo wiejski z zabudową jednorodzinną, gospodarską i niewielkimi użytkami rolnymi. Bolączką mieszkańców obszaru rewitalizacji w Niecieczy są deficyty infrastrukturalne (brak kanalizacji, zła jakość drogi, brak chodnika i ścieżki rowerowej) oraz brak miejsca integracji mieszkańców (świetlicy wiejskiej).</w:t>
      </w:r>
      <w:r>
        <w:rPr>
          <w:color w:themeColor="accent2" w:val="ED7D31"/>
        </w:rPr>
        <w:t xml:space="preserve"> </w:t>
      </w:r>
    </w:p>
    <w:p>
      <w:pPr>
        <w:pStyle w:val="Normal"/>
        <w:rPr/>
      </w:pPr>
      <w:r>
        <w:rPr/>
        <w:t>Złożony z dwóch części obszar rewitalizacji w Gminie Nowe Miasteczko skupia w sposób szczególny negatywne zjawiska w sferze społecznej. Oznacza to, że problemy w zakresie ubóstwa, bezrobocia, bezradności i zagrożenia wykluczeniem społecznym są dostrzegalne na obszarze rewitalizacji znacznie bardziej niż w pozostałych częściach gminy. Sytuacja na obszarze rewitalizacji w zakresie problemów z sytuacją demograficzną, ubóstwem i bezrobociem wymaga indywidualnej interwencji na całym obszarze. Z kolei w zakresie wsparcia dla osób ze szczególnymi potrzebami konieczność podejmowania interwencji jest zróżnicowana. Oznacza to, że planowane do realizacji przedsięwzięcia rewitalizacyjne wymagają uwzględnienia specyfiki lokalnych społeczności i wspólnot sąsiedzkich. Szczegółowa, pogłębiona diagnoza obszaru rewitalizacji wskazuje też na potrzebę realizacji powiązanych ze sobą działań w sferze gospodarczej, środowiskowej, przestrzenno-funkcjonalnej oraz technicznej. Mieszkańcy i urzędnicy zwracają uwagę m.in. na potrzeby w zakresie ożywienia komercyjnego centrum Nowego Miasteczka (handel, gastronomia, usługi), poprawy infrastruktury oraz animacji życia kulturalnego i społecznego w Niecieczy, konieczność poprawy stanu zagospodarowania terenów rekreacyjnych, likwidacji barier architektonicznych w budynkach użyteczności publicznej oraz wzmocnienia więzi społecznych, co w istotnym stopniu korzystnie wpłynie na jakość życia mieszkańców obszaru rewitalizacji, a pośrednio również całej gminy.</w:t>
      </w:r>
    </w:p>
    <w:p>
      <w:pPr>
        <w:pStyle w:val="Heading2"/>
        <w:rPr/>
      </w:pPr>
      <w:bookmarkStart w:id="15" w:name="_Toc216991156"/>
      <w:r>
        <w:rPr/>
        <w:t>2.2. Diagnoza zjawisk społecznych</w:t>
      </w:r>
      <w:bookmarkEnd w:id="15"/>
    </w:p>
    <w:p>
      <w:pPr>
        <w:pStyle w:val="Normal"/>
        <w:rPr/>
      </w:pPr>
      <w:r>
        <w:rPr/>
        <w:t>Obszar rewitalizacji Gminy Nowe Miasteczko charakteryzuje się licznymi negatywnymi zjawiskami oraz niepokojącymi trendami w sferze społecznej. Dostrzegalnych jest także wiele istotnych potencjałów, które mogą stanowić fundament do planowania i wdrażania przedsięwzięć rewitalizacyjnych na tym obszarze.</w:t>
      </w:r>
    </w:p>
    <w:p>
      <w:pPr>
        <w:pStyle w:val="Normal"/>
        <w:rPr/>
      </w:pPr>
      <w:r>
        <w:rPr/>
        <w:t>Kluczowym parametrem odnoszącym się do sytuacji społecznej na obszarze rewitalizacji jest liczba mieszkańców oraz zachodzące zmiany demograficzne. Na potrzeby wyznaczenia obszaru zdegradowanego i obszaru rewitalizacji Gminy Nowe Miasteczko analizowano dane z lat 2016-2024. W tym okresie liczba mieszkańców Gminy zmniejszyła się o niecałe 8%, podczas gdy na obszarze rewitalizacji spadek ten wyniósł aż ponad 19% (na obszarze rewitalizacji w Nowym Miasteczku – ponad 20%, na obszarze rewitalizacji w Niecieczy – 11%). Na taki stan rzeczy składają się rozmaite przyczyny. Jedną z nich może być ujemny wskaźnik przyrostu naturalnego. Zgodnie z „Raportem o stanie Gminy za 2024 rok” w Nowym Miasteczku odnotowano niemal dwukrotnie więcej zgonów niż urodzeń. Drugim czynnikiem wpływającym na tak drastyczny spadek liczby mieszkańców na obszarze rewitalizacji jest migracja wewnętrzna w obrębie Gminy Nowe Miasteczko. Mieszkańcy, świadomi deficytów społecznych i infrastrukturalnych na obszarze rewitalizacji, mogą decydować się na przenosiny w inne części gminy. Świadczą o tym dane zebrane podczas delimitacji, z których wynika, że występują na obszarze gminy takie jednostki diagnostyczne, w których liczba mieszkańców utrzymuje się na podobnym poziomie, a nawet zauważalnie wzrasta. Trzecim czynnikiem jest emigracja poza granice Gminy Nowe Miasteczko. Sprzyja temu względna bliskość większych ośrodków miejskich, oferujących szersze możliwości edukacyjne, zawodowe czy kulturalne (Zielona Góra, Nowa Sól, Głogów), jak również relatywnie niewielka odległość od granicy niemieckiej.</w:t>
      </w:r>
    </w:p>
    <w:p>
      <w:pPr>
        <w:pStyle w:val="Normal"/>
        <w:rPr/>
      </w:pPr>
      <w:r>
        <w:rPr/>
        <w:t>Sytuacja demograficzna w gminie związana jest z istniejącymi i przewidywanymi zmianami w zakresie migracji. Badanie ankietowe przeprowadzone na grupie 147 mieszkańców gminy Nowe Miasteczko pozwoliło stwierdzić, że niemal połowa mieszkańców nie rozważa przeprowadzki, a ponadto co piąta osoba nie zastanawiała się nad tym. Daje to łącznie ponad 2/3 ankietowanych (67,4%) niemających tego rodzaju planów. Około 25% respondentów zakłada możliwość emigracji z gminy Nowe Miasteczko, do innego miasta lub gminy, w Polsce czy zagranicą. Osoby zainteresowane przeprowadzką do którejś z miejscowości ościennych stanowiły zaledwie 2% ankietowanych. Zainteresowani przeprowadzką to w zdecydowanej większości osoby najmłodsze, do 19. roku życia, ewentualnie od 20. do 30. roku życia, bez różnicowania na płeć. We wszystkich starszych grupach wiekowych przeważały odpowiedzi „nie rozważam” albo „nie zastanawiałem się nad tym”. Może to oznaczać, że Gmina Nowe Miasteczko jest narażona na dalszy niekorzystny odpływ migracyjny, związany z perspektywami pracy i aktywności dla młodych w innych miejscach. Należy zauważyć, że wśród najmłodszych mieszkańców 42% zakłada dalszą przeprowadzkę, jednakże 31% nie rozważa, 22% nie zastanawiało się nad tym, a 5% chce przeprowadzić się do którejś z gmin ościennych. W znaczącej części młodzieży można więc upatrywać szansy na dalszy rozwój gminy.</w:t>
      </w:r>
      <w:r>
        <w:rPr>
          <w:color w:val="EE0000"/>
        </w:rPr>
        <w:t xml:space="preserve"> </w:t>
      </w:r>
    </w:p>
    <w:p>
      <w:pPr>
        <w:pStyle w:val="Wykresy2"/>
        <w:rPr/>
      </w:pPr>
      <w:bookmarkStart w:id="16" w:name="_Toc216991213"/>
      <w:r>
        <w:rPr/>
        <w:t>Wykres 1. Plany mieszkańców w zakresie zmiany miejsca zamieszkania</w:t>
      </w:r>
      <w:bookmarkEnd w:id="16"/>
    </w:p>
    <w:p>
      <w:pPr>
        <w:pStyle w:val="Normal"/>
        <w:rPr/>
      </w:pPr>
      <w:r>
        <w:rPr/>
        <w:drawing>
          <wp:inline distT="0" distB="0" distL="0" distR="0">
            <wp:extent cx="5760720" cy="2849245"/>
            <wp:effectExtent l="0" t="0" r="0" b="0"/>
            <wp:docPr id="7" name="Wykres 1" descr="" title=""/>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pPr>
        <w:pStyle w:val="Normal"/>
        <w:rPr/>
      </w:pPr>
      <w:r>
        <w:rPr/>
        <w:t xml:space="preserve">Warto odnotować, że jeśli weźmiemy pod uwagę wyłącznie odpowiedzi udzielane przez mieszkańców obszaru rewitalizacji, to brak zainteresowania przeprowadzką deklaruje większy odsetek niż w przypadku całej gminy. Niemal 47% ankietowanych nie rozważa zmiany miejsca zamieszkania, a 24% nie zastanawiało się nad tym. Spośród mieszkańców obszaru rewitalizacji w Niecieczy tylko jedna osoba rozważa możliwość przeprowadzki – do sąsiedniej gminy. Może to świadczyć o wysokim przywiązaniu mieszkańców do miejsca, w którym żyją, co stanowi niewątpliwy potencjał do wdrażania działań rewitalizacyjnych. </w:t>
      </w:r>
    </w:p>
    <w:p>
      <w:pPr>
        <w:pStyle w:val="Normal"/>
        <w:rPr/>
      </w:pPr>
      <w:r>
        <w:rPr/>
        <w:t>Na obszarze rewitalizacji w Gminie Nowe Miasteczko występuje silna koncentracja negatywnych zjawisk w sferze społecznej. Potwierdzają to aktualne dane (stan na 31 grudnia 2024 r.) Ośrodka Pomocy Społecznej (OPS) w Nowym Miasteczku dotyczące przyczyn korzystania mieszkańców gminy i obszaru rewitalizacji z pomocy społecznej. Spośród 165 zarejestrowanych odbiorców wsparcia udzielanego przez OPS (we wszelkich formach, ogółem) 41% mieszka na obszarze rewitalizacji. Odsetek ten jest jeszcze wyższy w przypadku pomocy udzielanej konkretnie z powodu ubóstwa (48%). Największa dysproporcja pomiędzy obszarem rewitalizacji a pozostałą częścią gminy uwidacznia się w danych dotyczących przypadków bezradności w sprawach opiekuńczo-wychowawczych, ponieważ aż 57% z nich odnotowywanych jest na obszarze rewitalizacji.</w:t>
      </w:r>
    </w:p>
    <w:p>
      <w:pPr>
        <w:pStyle w:val="Tabele"/>
        <w:rPr/>
      </w:pPr>
      <w:bookmarkStart w:id="17" w:name="_Toc216991204"/>
      <w:r>
        <w:rPr/>
        <w:t>Tabela 2. Wartości wskaźników dotyczących pomocy społecznej na obszarze rewitalizacji w Gminie Nowe Miasteczko</w:t>
      </w:r>
      <w:bookmarkEnd w:id="17"/>
    </w:p>
    <w:tbl>
      <w:tblPr>
        <w:tblStyle w:val="Tabela-Siatka"/>
        <w:tblpPr w:vertAnchor="text" w:horzAnchor="text" w:tblpXSpec="center" w:leftFromText="141" w:rightFromText="141" w:tblpY="1"/>
        <w:tblW w:w="9062" w:type="dxa"/>
        <w:jc w:val="center"/>
        <w:tblInd w:w="0" w:type="dxa"/>
        <w:tblLayout w:type="fixed"/>
        <w:tblCellMar>
          <w:top w:w="0" w:type="dxa"/>
          <w:start w:w="108" w:type="dxa"/>
          <w:bottom w:w="0" w:type="dxa"/>
          <w:end w:w="108" w:type="dxa"/>
        </w:tblCellMar>
        <w:tblLook w:firstRow="1" w:noVBand="1" w:lastRow="0" w:firstColumn="1" w:lastColumn="0" w:noHBand="0" w:val="04a0"/>
      </w:tblPr>
      <w:tblGrid>
        <w:gridCol w:w="2985"/>
        <w:gridCol w:w="1348"/>
        <w:gridCol w:w="1482"/>
        <w:gridCol w:w="1816"/>
        <w:gridCol w:w="1431"/>
      </w:tblGrid>
      <w:tr>
        <w:trPr>
          <w:trHeight w:val="416" w:hRule="atLeast"/>
        </w:trPr>
        <w:tc>
          <w:tcPr>
            <w:tcW w:w="2985" w:type="dxa"/>
            <w:vMerge w:val="restart"/>
            <w:tcBorders/>
          </w:tcPr>
          <w:p>
            <w:pPr>
              <w:pStyle w:val="NoSpacing"/>
              <w:widowControl w:val="false"/>
              <w:suppressAutoHyphens w:val="true"/>
              <w:spacing w:before="120" w:after="120"/>
              <w:jc w:val="center"/>
              <w:rPr>
                <w:b/>
                <w:bCs/>
              </w:rPr>
            </w:pPr>
            <w:r>
              <w:rPr>
                <w:rFonts w:eastAsia="Aptos" w:cs=""/>
                <w:b/>
                <w:bCs/>
                <w:kern w:val="2"/>
                <w:sz w:val="22"/>
                <w:szCs w:val="22"/>
                <w:lang w:val="pl-PL" w:eastAsia="en-US" w:bidi="ar-SA"/>
              </w:rPr>
              <w:t>Nazwa wskaźnika</w:t>
            </w:r>
          </w:p>
        </w:tc>
        <w:tc>
          <w:tcPr>
            <w:tcW w:w="6077" w:type="dxa"/>
            <w:gridSpan w:val="4"/>
            <w:tcBorders/>
          </w:tcPr>
          <w:p>
            <w:pPr>
              <w:pStyle w:val="NoSpacing"/>
              <w:widowControl w:val="false"/>
              <w:suppressAutoHyphens w:val="true"/>
              <w:spacing w:before="120" w:after="120"/>
              <w:jc w:val="center"/>
              <w:rPr>
                <w:b/>
                <w:bCs/>
              </w:rPr>
            </w:pPr>
            <w:r>
              <w:rPr>
                <w:rFonts w:eastAsia="Aptos" w:cs=""/>
                <w:b/>
                <w:bCs/>
                <w:kern w:val="2"/>
                <w:sz w:val="22"/>
                <w:szCs w:val="22"/>
                <w:lang w:val="pl-PL" w:eastAsia="en-US" w:bidi="ar-SA"/>
              </w:rPr>
              <w:t>Wartości wskaźnika</w:t>
            </w:r>
          </w:p>
        </w:tc>
      </w:tr>
      <w:tr>
        <w:trPr>
          <w:trHeight w:val="428" w:hRule="atLeast"/>
        </w:trPr>
        <w:tc>
          <w:tcPr>
            <w:tcW w:w="2985" w:type="dxa"/>
            <w:vMerge w:val="continue"/>
            <w:tcBorders/>
          </w:tcPr>
          <w:p>
            <w:pPr>
              <w:pStyle w:val="NoSpacing"/>
              <w:widowControl w:val="false"/>
              <w:suppressAutoHyphens w:val="true"/>
              <w:spacing w:before="120" w:after="120"/>
              <w:rPr>
                <w:rFonts w:ascii="Aptos" w:hAnsi="Aptos" w:eastAsia="Aptos"/>
              </w:rPr>
            </w:pPr>
            <w:r>
              <w:rPr>
                <w:rFonts w:eastAsia="Aptos" w:cs="" w:ascii="Aptos" w:hAnsi="Aptos"/>
                <w:kern w:val="2"/>
                <w:sz w:val="22"/>
                <w:szCs w:val="22"/>
                <w:lang w:val="pl-PL" w:eastAsia="en-US" w:bidi="ar-SA"/>
              </w:rPr>
            </w:r>
          </w:p>
        </w:tc>
        <w:tc>
          <w:tcPr>
            <w:tcW w:w="1348" w:type="dxa"/>
            <w:tcBorders/>
          </w:tcPr>
          <w:p>
            <w:pPr>
              <w:pStyle w:val="NoSpacing"/>
              <w:widowControl w:val="false"/>
              <w:suppressAutoHyphens w:val="true"/>
              <w:spacing w:before="120" w:after="120"/>
              <w:jc w:val="center"/>
              <w:rPr>
                <w:b/>
                <w:bCs/>
              </w:rPr>
            </w:pPr>
            <w:r>
              <w:rPr>
                <w:rFonts w:eastAsia="Aptos" w:cs=""/>
                <w:b/>
                <w:bCs/>
                <w:kern w:val="2"/>
                <w:sz w:val="22"/>
                <w:szCs w:val="22"/>
                <w:lang w:val="pl-PL" w:eastAsia="en-US" w:bidi="ar-SA"/>
              </w:rPr>
              <w:t>Gmina Nowe Miasteczko</w:t>
            </w:r>
          </w:p>
        </w:tc>
        <w:tc>
          <w:tcPr>
            <w:tcW w:w="1482" w:type="dxa"/>
            <w:tcBorders/>
          </w:tcPr>
          <w:p>
            <w:pPr>
              <w:pStyle w:val="NoSpacing"/>
              <w:widowControl w:val="false"/>
              <w:suppressAutoHyphens w:val="true"/>
              <w:spacing w:before="120" w:after="120"/>
              <w:jc w:val="center"/>
              <w:rPr>
                <w:b/>
                <w:bCs/>
              </w:rPr>
            </w:pPr>
            <w:r>
              <w:rPr>
                <w:rFonts w:eastAsia="Aptos" w:cs=""/>
                <w:b/>
                <w:bCs/>
                <w:kern w:val="2"/>
                <w:sz w:val="22"/>
                <w:szCs w:val="22"/>
                <w:lang w:val="pl-PL" w:eastAsia="en-US" w:bidi="ar-SA"/>
              </w:rPr>
              <w:t>Obszar rewitalizacji</w:t>
            </w:r>
          </w:p>
        </w:tc>
        <w:tc>
          <w:tcPr>
            <w:tcW w:w="1816" w:type="dxa"/>
            <w:tcBorders/>
          </w:tcPr>
          <w:p>
            <w:pPr>
              <w:pStyle w:val="NoSpacing"/>
              <w:widowControl w:val="false"/>
              <w:suppressAutoHyphens w:val="true"/>
              <w:spacing w:before="120" w:after="120"/>
              <w:jc w:val="center"/>
              <w:rPr>
                <w:b/>
                <w:bCs/>
              </w:rPr>
            </w:pPr>
            <w:r>
              <w:rPr>
                <w:rFonts w:eastAsia="Aptos" w:cs=""/>
                <w:b/>
                <w:bCs/>
                <w:kern w:val="2"/>
                <w:sz w:val="22"/>
                <w:szCs w:val="22"/>
                <w:lang w:val="pl-PL" w:eastAsia="en-US" w:bidi="ar-SA"/>
              </w:rPr>
              <w:t>Obszar rewitalizacji 1 – Nowe Miasteczko</w:t>
            </w:r>
          </w:p>
        </w:tc>
        <w:tc>
          <w:tcPr>
            <w:tcW w:w="1431" w:type="dxa"/>
            <w:tcBorders/>
          </w:tcPr>
          <w:p>
            <w:pPr>
              <w:pStyle w:val="NoSpacing"/>
              <w:widowControl w:val="false"/>
              <w:suppressAutoHyphens w:val="true"/>
              <w:spacing w:before="120" w:after="120"/>
              <w:jc w:val="center"/>
              <w:rPr>
                <w:b/>
                <w:bCs/>
              </w:rPr>
            </w:pPr>
            <w:r>
              <w:rPr>
                <w:rFonts w:eastAsia="Aptos" w:cs=""/>
                <w:b/>
                <w:bCs/>
                <w:kern w:val="2"/>
                <w:sz w:val="22"/>
                <w:szCs w:val="22"/>
                <w:lang w:val="pl-PL" w:eastAsia="en-US" w:bidi="ar-SA"/>
              </w:rPr>
              <w:t>Obszar rewitalizacji 2 – Nieciecz</w:t>
            </w:r>
          </w:p>
        </w:tc>
      </w:tr>
      <w:tr>
        <w:trPr>
          <w:trHeight w:val="433" w:hRule="atLeast"/>
        </w:trPr>
        <w:tc>
          <w:tcPr>
            <w:tcW w:w="2985" w:type="dxa"/>
            <w:tcBorders/>
          </w:tcPr>
          <w:p>
            <w:pPr>
              <w:pStyle w:val="NoSpacing"/>
              <w:widowControl w:val="false"/>
              <w:suppressAutoHyphens w:val="true"/>
              <w:spacing w:before="120" w:after="120"/>
              <w:jc w:val="start"/>
              <w:rPr>
                <w:b/>
                <w:bCs/>
              </w:rPr>
            </w:pPr>
            <w:r>
              <w:rPr>
                <w:rFonts w:eastAsia="Aptos" w:cs=""/>
                <w:b/>
                <w:bCs/>
                <w:kern w:val="2"/>
                <w:sz w:val="22"/>
                <w:szCs w:val="22"/>
                <w:lang w:val="pl-PL" w:eastAsia="en-US" w:bidi="ar-SA"/>
              </w:rPr>
              <w:t>Liczba osób korzystających z pomocy społecznej</w:t>
            </w:r>
          </w:p>
        </w:tc>
        <w:tc>
          <w:tcPr>
            <w:tcW w:w="1348"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165</w:t>
            </w:r>
          </w:p>
        </w:tc>
        <w:tc>
          <w:tcPr>
            <w:tcW w:w="1482"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68</w:t>
            </w:r>
          </w:p>
        </w:tc>
        <w:tc>
          <w:tcPr>
            <w:tcW w:w="1816"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60</w:t>
            </w:r>
          </w:p>
        </w:tc>
        <w:tc>
          <w:tcPr>
            <w:tcW w:w="1431"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8</w:t>
            </w:r>
          </w:p>
        </w:tc>
      </w:tr>
      <w:tr>
        <w:trPr>
          <w:trHeight w:val="433" w:hRule="atLeast"/>
        </w:trPr>
        <w:tc>
          <w:tcPr>
            <w:tcW w:w="2985" w:type="dxa"/>
            <w:tcBorders/>
          </w:tcPr>
          <w:p>
            <w:pPr>
              <w:pStyle w:val="NoSpacing"/>
              <w:widowControl w:val="false"/>
              <w:suppressAutoHyphens w:val="true"/>
              <w:spacing w:before="120" w:after="120"/>
              <w:jc w:val="start"/>
              <w:rPr>
                <w:b/>
                <w:bCs/>
              </w:rPr>
            </w:pPr>
            <w:r>
              <w:rPr>
                <w:rFonts w:eastAsia="Aptos" w:cs=""/>
                <w:b/>
                <w:bCs/>
                <w:kern w:val="2"/>
                <w:sz w:val="22"/>
                <w:szCs w:val="22"/>
                <w:lang w:val="pl-PL" w:eastAsia="en-US" w:bidi="ar-SA"/>
              </w:rPr>
              <w:t>Liczba osób korzystających z pomocy społecznej z powodu ubóstwa</w:t>
            </w:r>
          </w:p>
        </w:tc>
        <w:tc>
          <w:tcPr>
            <w:tcW w:w="1348"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77</w:t>
            </w:r>
          </w:p>
        </w:tc>
        <w:tc>
          <w:tcPr>
            <w:tcW w:w="1482"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37</w:t>
            </w:r>
          </w:p>
        </w:tc>
        <w:tc>
          <w:tcPr>
            <w:tcW w:w="1816"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34</w:t>
            </w:r>
          </w:p>
        </w:tc>
        <w:tc>
          <w:tcPr>
            <w:tcW w:w="1431"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3</w:t>
            </w:r>
          </w:p>
        </w:tc>
      </w:tr>
      <w:tr>
        <w:trPr>
          <w:trHeight w:val="433" w:hRule="atLeast"/>
        </w:trPr>
        <w:tc>
          <w:tcPr>
            <w:tcW w:w="2985" w:type="dxa"/>
            <w:tcBorders/>
          </w:tcPr>
          <w:p>
            <w:pPr>
              <w:pStyle w:val="NoSpacing"/>
              <w:widowControl w:val="false"/>
              <w:suppressAutoHyphens w:val="true"/>
              <w:spacing w:before="120" w:after="120"/>
              <w:jc w:val="start"/>
              <w:rPr>
                <w:b/>
                <w:bCs/>
              </w:rPr>
            </w:pPr>
            <w:r>
              <w:rPr>
                <w:rFonts w:eastAsia="Aptos" w:cs=""/>
                <w:b/>
                <w:bCs/>
                <w:kern w:val="2"/>
                <w:sz w:val="22"/>
                <w:szCs w:val="22"/>
                <w:lang w:val="pl-PL" w:eastAsia="en-US" w:bidi="ar-SA"/>
              </w:rPr>
              <w:t>Liczba osób pobierających zasiłki przyznawane z powodu niepełnosprawności</w:t>
            </w:r>
          </w:p>
        </w:tc>
        <w:tc>
          <w:tcPr>
            <w:tcW w:w="1348"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202</w:t>
            </w:r>
          </w:p>
        </w:tc>
        <w:tc>
          <w:tcPr>
            <w:tcW w:w="1482"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62</w:t>
            </w:r>
          </w:p>
        </w:tc>
        <w:tc>
          <w:tcPr>
            <w:tcW w:w="1816"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55</w:t>
            </w:r>
          </w:p>
        </w:tc>
        <w:tc>
          <w:tcPr>
            <w:tcW w:w="1431"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7</w:t>
            </w:r>
          </w:p>
        </w:tc>
      </w:tr>
      <w:tr>
        <w:trPr>
          <w:trHeight w:val="433" w:hRule="atLeast"/>
        </w:trPr>
        <w:tc>
          <w:tcPr>
            <w:tcW w:w="2985" w:type="dxa"/>
            <w:tcBorders/>
          </w:tcPr>
          <w:p>
            <w:pPr>
              <w:pStyle w:val="NoSpacing"/>
              <w:widowControl w:val="false"/>
              <w:suppressAutoHyphens w:val="true"/>
              <w:spacing w:before="120" w:after="120"/>
              <w:jc w:val="start"/>
              <w:rPr>
                <w:b/>
                <w:bCs/>
              </w:rPr>
            </w:pPr>
            <w:r>
              <w:rPr>
                <w:rFonts w:eastAsia="Aptos" w:cs=""/>
                <w:b/>
                <w:bCs/>
                <w:kern w:val="2"/>
                <w:sz w:val="22"/>
                <w:szCs w:val="22"/>
                <w:lang w:val="pl-PL" w:eastAsia="en-US" w:bidi="ar-SA"/>
              </w:rPr>
              <w:t>Liczba przypadków bezradności w sprawach opiekuńczo-wychowawczych i prowadzenia gospodarstwa domowego</w:t>
            </w:r>
          </w:p>
        </w:tc>
        <w:tc>
          <w:tcPr>
            <w:tcW w:w="1348"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89</w:t>
            </w:r>
          </w:p>
        </w:tc>
        <w:tc>
          <w:tcPr>
            <w:tcW w:w="1482"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51</w:t>
            </w:r>
          </w:p>
        </w:tc>
        <w:tc>
          <w:tcPr>
            <w:tcW w:w="1816"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35</w:t>
            </w:r>
          </w:p>
        </w:tc>
        <w:tc>
          <w:tcPr>
            <w:tcW w:w="1431"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16</w:t>
            </w:r>
          </w:p>
        </w:tc>
      </w:tr>
    </w:tbl>
    <w:p>
      <w:pPr>
        <w:pStyle w:val="Normal"/>
        <w:rPr/>
      </w:pPr>
      <w:r/>
      <w:r>
        <w:rPr/>
        <w:t>Największą koncentrację przypadków bezradności w sprawach opiekuńczo-wychowawczych i prowadzenia gospodarstwa domowego można odnotować w Niecieczy, a także w trzech jednostkach diagnostycznych w obszarze rewitalizacji w Nowym Miasteczku: w części na północ od Szosy Bytomskiej w kierunku Rynku, w zachodniej części obszaru (okolice ulic Dworcowej i Przemysłowej) oraz w okolicach ulicy Marcinkowskiego. Pracownicy Ośrodka Pomocy Społecznej w swoich działaniach na tym terenie muszą zwracać szczególną uwagę na zjawisko dziedziczenia biedy i ogólnego nieprzystosowania społecznego. Wskaźnik dotyczący bezradności wskazuje, że wielu mieszkańców potrzebuje kompleksowego wsparcia obejmującego całe rodziny. Wyjście ze środowiska osób zagrożonych ubóstwem i marginalizacją społeczną powinno obejmować całe spektrum umiejętności: od zarządzania domowym budżetem, przez zasady zachowania w określonych sytuacjach społecznych, po uregulowanie sytuacji prawnej rodziny.</w:t>
      </w:r>
    </w:p>
    <w:p>
      <w:pPr>
        <w:pStyle w:val="Normal"/>
        <w:rPr/>
      </w:pPr>
      <w:r>
        <w:rPr/>
        <w:t>W danych dotyczących sytuacji społecznej na obszarze rewitalizacji da się również zauważyć korelację dotyczącą liczby osób bezrobotnych oraz liczby osób długotrwale bezrobotnych pozostających bez zatrudnienia co najmniej 24 miesiące. Najwięcej takich osób występuje w tych częściach obszaru rewitalizacji, gdzie odnotowywane są najwyższe wskaźniki dotyczące liczby osób korzystających z pomocy społecznej z powodu ubóstwa. Trudna sytuacja materialna mieszkańców obszaru rewitalizacji jest więc często powodowana brakiem możliwości lub brakiem chęci podjęcia zatrudnienia. Wsparcie kierowane do takich grup powinno zatem uwzględniać również podniesienie kwalifikacji i zdobycie nowych umiejętności pożądanych na rynku pracy.</w:t>
      </w:r>
    </w:p>
    <w:p>
      <w:pPr>
        <w:pStyle w:val="Normal"/>
        <w:rPr/>
      </w:pPr>
      <w:r>
        <w:rPr/>
        <w:t>Liczba osób ze zdiagnozowanym problemem alkoholowym na obszarze rewitalizacji jest niewielka i nie odbiega od wskaźników notowanych w pozostałych częściach Gminy Nowe Miasteczko. Problemem pozostaje jednak zjawisko związane z alkoholem, nieodnotowane w statystykach, a obecne w społecznej świadomości. W ankiecie przeprowadzonej wśród mieszkańców, w wielu odpowiedziach na pytanie dotyczące głównych problemów obszaru rewitalizacji w Nowym Miasteczku przewija się kwestia spożywania alkoholu w miejscach publicznych („za dużo osób upojonych alkoholem”, „Rynek opanowany przez osoby nadużywające alkoholu”, „Policja zbytnio nie patrzy na nich, pomimo że piją wszędzie i się z tym nie kryją” – to niektóre odpowiedzi). Takie postrzeganie obszaru rewitalizacji przez jego bywalców powinno być sygnałem dla władz i służb porządkowych, ponieważ opisywane sytuacje godzą nie tylko w poczucie bezpieczeństwa, ale również w ogólny wizerunek obszaru rewitalizacji.</w:t>
      </w:r>
    </w:p>
    <w:p>
      <w:pPr>
        <w:pStyle w:val="Normal"/>
        <w:rPr/>
      </w:pPr>
      <w:r>
        <w:rPr/>
        <w:t>Niewątpliwym potencjałem i cennym zasobem obszaru rewitalizacji jest Ośrodek Pomocy Społecznej w Nowym Miasteczku, mieszczący się przy ul. 22 Lipca. Z wywiadów grupowych przeprowadzonych z różnymi grupami interesariuszy rewitalizacji w Nowym Miasteczku wynika, że działalność OPS jest oceniana pozytywnie przez większość mieszkańców. W rozmowach pojawiały się głosy o proaktywnym charakterze tej instytucji. Oznacza to, że kadra nie ogranicza się do wypełniania swoich podstawowych obowiązków, ale stale podnosi swoje kwalifikacje, jest zaangażowana w opracowywanie nowych projektów i pozyskiwanie dla nich źródeł finansowania, a także dba o działania w zakresie komunikacji. Wszystkie te cechy są szczególnie pożądane w procesie wdrażania programu rewitalizacji, dlatego Ośrodek Pomocy Społecznej ze swoim potencjałem kadrowym i instytucjonalnym powinien być istotnym elementem tego procesu.</w:t>
      </w:r>
    </w:p>
    <w:p>
      <w:pPr>
        <w:pStyle w:val="Fotografie"/>
        <w:rPr/>
      </w:pPr>
      <w:bookmarkStart w:id="18" w:name="_Toc216991218"/>
      <w:r>
        <w:rPr/>
        <w:t>Fotografia 2. Warsztaty dla seniorów „Starość to też radość” organizowane przez Ośrodek Pomocy Społecznej w Nowym Miasteczku oraz zimowisko dla dzieci w Wiśle zorganizowane przez OPS</w:t>
      </w:r>
      <w:bookmarkEnd w:id="18"/>
    </w:p>
    <w:p>
      <w:pPr>
        <w:pStyle w:val="Normal"/>
        <w:jc w:val="center"/>
        <w:rPr>
          <w:color w:themeColor="accent1" w:val="4472C4"/>
          <w:sz w:val="18"/>
          <w:szCs w:val="18"/>
        </w:rPr>
      </w:pPr>
      <w:r>
        <w:rPr/>
        <w:drawing>
          <wp:inline distT="0" distB="0" distL="0" distR="0">
            <wp:extent cx="2752725" cy="2063750"/>
            <wp:effectExtent l="0" t="0" r="0" b="0"/>
            <wp:docPr id="8" name="Obraz 6" descr="Obraz zawierający osoba, ubrania, Ludzka twarz, kobieta&#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6" descr="Obraz zawierający osoba, ubrania, Ludzka twarz, kobieta&#10;&#10;Zawartość wygenerowana przez AI może być niepoprawna." title=""/>
                    <pic:cNvPicPr>
                      <a:picLocks noChangeAspect="1" noChangeArrowheads="1"/>
                    </pic:cNvPicPr>
                  </pic:nvPicPr>
                  <pic:blipFill>
                    <a:blip r:embed="rId13"/>
                    <a:stretch>
                      <a:fillRect/>
                    </a:stretch>
                  </pic:blipFill>
                  <pic:spPr bwMode="auto">
                    <a:xfrm>
                      <a:off x="0" y="0"/>
                      <a:ext cx="2752725" cy="2063750"/>
                    </a:xfrm>
                    <a:prstGeom prst="rect">
                      <a:avLst/>
                    </a:prstGeom>
                    <a:noFill/>
                  </pic:spPr>
                </pic:pic>
              </a:graphicData>
            </a:graphic>
          </wp:inline>
        </w:drawing>
      </w:r>
      <w:r>
        <w:rPr/>
        <w:drawing>
          <wp:inline distT="0" distB="0" distL="0" distR="0">
            <wp:extent cx="2711450" cy="2032000"/>
            <wp:effectExtent l="0" t="0" r="0" b="0"/>
            <wp:docPr id="9" name="Obraz 7" descr="Obraz zawierający na wolnym powietrzu, niebo, zima, śnieg&#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7" descr="Obraz zawierający na wolnym powietrzu, niebo, zima, śnieg&#10;&#10;Zawartość wygenerowana przez AI może być niepoprawna." title=""/>
                    <pic:cNvPicPr>
                      <a:picLocks noChangeAspect="1" noChangeArrowheads="1"/>
                    </pic:cNvPicPr>
                  </pic:nvPicPr>
                  <pic:blipFill>
                    <a:blip r:embed="rId14"/>
                    <a:stretch>
                      <a:fillRect/>
                    </a:stretch>
                  </pic:blipFill>
                  <pic:spPr bwMode="auto">
                    <a:xfrm>
                      <a:off x="0" y="0"/>
                      <a:ext cx="2711450" cy="2032000"/>
                    </a:xfrm>
                    <a:prstGeom prst="rect">
                      <a:avLst/>
                    </a:prstGeom>
                    <a:noFill/>
                  </pic:spPr>
                </pic:pic>
              </a:graphicData>
            </a:graphic>
          </wp:inline>
        </w:drawing>
      </w:r>
    </w:p>
    <w:p>
      <w:pPr>
        <w:pStyle w:val="Normal"/>
        <w:rPr/>
      </w:pPr>
      <w:r>
        <w:rPr/>
        <w:t xml:space="preserve">Kluczową kwestią przy prowadzeniu procesów rewitalizacji jest budowanie kapitału społecznego oraz dążenia do zwiększania poziomu uczestnictwa mieszkańców w życiu społecznym i kulturalnym. W odpowiedziach ankietowanych w zakresie działalności mieszkańców w organizacjach społecznych w Gminie Nowe Miasteczko sytuacja prezentuje się następująco: zdecydowana większość mieszkańców (87,1% – 128 osób) nie jest aktywnych w organizacjach (np. stowarzyszeniu, klubie seniora, klubie sportowym), których siedziba znajduje się na obszarze rewitalizacji. Pozostałe 12,9% (19 osób) wykazuje taką aktywność. </w:t>
      </w:r>
    </w:p>
    <w:p>
      <w:pPr>
        <w:pStyle w:val="Normal"/>
        <w:rPr>
          <w:rFonts w:ascii="Roboto" w:hAnsi="Roboto"/>
        </w:rPr>
      </w:pPr>
      <w:r>
        <w:rPr/>
        <w:t>Dane te zestawiono z informacją na temat mieszkańców deklarujących gotowość podjęcia aktywności w organizacjach społecznych w Nowym Miasteczku w przyszłości. Jak się okazuje, z aktywności takiej zrezygnowałyby jedynie 2 osoby spośród obecnie zaangażowanych (10%), 6 osób zamierza ją kontynuować (31%), zaś 11 osób dopuszcza taką możliwość (58%). Spośród osób obecnie niedziałających w organizacjach społecznych zaledwie 1/3 podtrzymuje swój brak zainteresowania taką formą działalności, 15% zamierza podjąć w tym zakresie aktywność, zaś 53% dopuszcza taką możliwość. Ogółem wskazuje to na duży „uśpiony” potencjał społecznej aktywności do zagospodarowania wśród mieszkańców Gminy Nowe Miasteczko, także tych obecnie nieaktywnych. W sumie może to dotyczyć nawet około 80% mieszkańców, przynajmniej deklaratywnie, biorąc pod uwagę respondentów ankiety. Wśród aktywności potencjalnie branych pod uwagę wymieniane były: koło gospodyń wiejskich (kilkukrotnie), koło wędkarskie, klub seniora, organizacje historyczne, kulturalne, sportowe, społeczne, hobbystyczno-rekreacyjne (ogólnie), edukacja i rękodzieło, działania na rzecz dzieci i młodzieży, w tym animacje dla dzieci, RPG i LARP (gry fabularne), sprzątanie lasu, ochotnicza straż pożarna, młodzieżowa rada gminy. Część osób jednak jeszcze nie wie, jaka mogła to by być działalność.</w:t>
      </w:r>
    </w:p>
    <w:p>
      <w:pPr>
        <w:pStyle w:val="Normal"/>
        <w:rPr>
          <w:rFonts w:ascii="Roboto" w:hAnsi="Roboto"/>
        </w:rPr>
      </w:pPr>
      <w:r>
        <w:rPr/>
        <w:t>Z powyższymi wskazaniami korelują również odpowiedzi na pytanie „Czy zamierza Pan/Pani włączyć się we wdrażania programu rewitalizacji w Gminie Nowe Miasteczko”. Jednoznacznie wyklucza taką ewentualność zaledwie 13% ankietowanych. Odpowiedzi co do konkretnych form włączenia we wdrażanie gminnego programu rewitalizacji pojawiały się rzadko. Większość osób nie wiedziała, jakich aktywności mogłaby się podjąć. Pojawiły się pojedyncze propozycje, takie jak: planowanie inwestycji w obszarach rewitalizacji, OZE – fotowoltaika, uczestnictwo w wydarzeniach społecznych oraz ogólnie współpraca z władzami gminy, udział w konsultacjach, wskazywanie możliwych rozwiązań.</w:t>
      </w:r>
      <w:r>
        <w:rPr>
          <w:rFonts w:ascii="Roboto" w:hAnsi="Roboto"/>
        </w:rPr>
        <w:t xml:space="preserve"> </w:t>
      </w:r>
    </w:p>
    <w:p>
      <w:pPr>
        <w:pStyle w:val="Normal"/>
        <w:rPr/>
      </w:pPr>
      <w:r>
        <w:rPr/>
        <w:t>W tym kontekście istotne będzie umiejętne wykorzystanie potencjału, który tkwi w działających w Gminie Nowe Miasteczko – w tym również na obszarze rewitalizacji – organizacjach społecznych. Wysoki stopień zaangażowania ich członków w lokalne sprawy był często wymienianym potencjałem podczas wywiadów prowadzonych z różnymi grupami interesariuszy rewitalizacji. Do najprężniej działających organizacji należy m.in. Fundacja Porozumienie Wzgórz Dalkowskich, obejmująca obszarem swojego działania wiele powiatów województw lubuskiego i dolnośląskiego, jednak mająca swoją siedzibę na obszarze rewitalizacji w Nowym Miasteczku. Misją tej organizacji jest dążenie do zrównoważonego rozwoju obszarów wiejskich i podnoszenia jakości życia mieszkańców. Organizacją o stricte lokalnym charakterze jest natomiast Stowarzyszenie Przyjaciół Nowego Miasteczka, którego siedziba mieści się w bezpośrednim sąsiedztwie obszaru rewitalizacji. Jednym z głównych celów stowarzyszenia jest organizowanie oraz pobudzanie inicjatyw mieszkańców Gminy Nowe Miasteczko z zakresu kultury, edukacji, spraw społecznych, etnologii, tradycji i historii oraz walorów przyrodniczych gminy i okolic. Dużą renomą wśród mieszkańców cieszy się również Grupa Motocyklowa S3, której członkowie angażują się np. w akcje charytatywne czy zbiórki krwi. Mieszkańcy zainteresowani sportem mogą zaangażować się w działalność klubu MKS Frankiewicz Energy Nowe Miasteczko, liczącego około 100 zawodników. Na obszarze rewitalizacji działa również Koło Gospodyń Wiejskich „Florianki” oraz stacjonuje jednostka Ochotniczej Straży Pożarnej.</w:t>
      </w:r>
    </w:p>
    <w:p>
      <w:pPr>
        <w:pStyle w:val="Normal"/>
        <w:rPr/>
      </w:pPr>
      <w:r>
        <w:rPr/>
        <w:t>O ile aktywność lokalnych organizacji pozarządowych w obszarze rewitalizacji w Nowym Miasteczku stoi na wysokim poziomie, to w Niecieczy nie działa żadna tego typu organizacja. Mieszkańcy sołectwa mają natomiast utrudnione możliwości realizowania swoich ambicji i zainteresowań w organizacjach działających w centralnej części gminy, ze względu na problematyczną komunikację (znaczna odległość, brak ścieżki pieszo-rowerowej). Ten obiektywny czynnik może być przyczyną problemu często wskazywanego podczas wywiadów grupowych, a mianowicie odizolowania mieszkańców Niecieczy od życia społeczno-kulturalnego w gminie. Znajduje to potwierdzenie w ankietach. W pytaniu „Kiedy ostatnio uczestniczyła Pani/uczestniczył Pan w wydarzeniu kulturalnym/sportowym/społecznym kierowanym do mieszkańców gminy?” połowa ankietowanych mieszkańców Niecieczy zaznaczyła opcję „Kilka miesięcy temu”, zaś 21% oszacowało ten czas na okres jednego roku lub dłuższy. Podczas rozmów z mieszkańcami Niecieczy wielokrotnie powtarzano tezę, że tutejsza społeczność jest ze sobą zżyta, w sołectwie panują dobrosąsiedzkie relacje, jednak na co dzień brakuje ciekawych form spędzania wolnego czasu. Największą bolączką mieszkańców jest brak świetlicy wiejskiej lub innego miejsca, które dawałoby możliwość prowadzenia działań społecznych i kulturalnych. Ten deficyt był najczęściej wskazywaną przez ankietowanych odpowiedzią na pytanie o problemy na obszarze rewitalizacji w Niecieczy. Mimo że pytanie to miało charakter otwarty i nie sugerowało żadnej opcji, to odpowiedź dotycząca braku świetlicy pojawiła się aż kilkanaście razy. Podczas spaceru studyjnego po obszarze rewitalizacji w Niecieczy mieszkańcy zgodnie przyznawali, że w przypadku zorganizowania świetlicy w ich miejscowości, są skłonni zaangażować się w jej codzienne funkcjonowanie.</w:t>
      </w:r>
    </w:p>
    <w:p>
      <w:pPr>
        <w:pStyle w:val="Normal"/>
        <w:rPr/>
      </w:pPr>
      <w:r>
        <w:rPr/>
        <w:t>Pokrewny problem diagnozowany jest na obszarze rewitalizacji w Nowym Miasteczku. Mieszkańcy – zarówno podczas wywiadów grupowych, jak również w ankietach – wskazywali na brak punktów gastronomicznych w centrum. Ten deficyt jest odczuwalny nie tylko ze względu na brak możliwości zjedzenia posiłku poza domem czy zaproszenia na obiad osób odwiedzających Nowe Miasteczko. W głosach mieszkańców często pojawia się teza, że lokale gastronomiczne grałyby ważną rolę integrującą lokalną społeczność (głos z ankiety: „Przydałoby się miejsce, gdzie można się spotkać z ludźmi przy jedzeniu, gorącej czekoladzie w zimowe spacery. Coś, gdzie można spędzać czas jesienią i zimą. Ale nie bar do chlania”). Na pytanie „Jak ocenia Pani/Pan dostęp do oferty gastronomicznej w Gminie Nowe Miasteczko?” 57% ankietowanych odpowiedziało „Źle” lub „Bardzo źle”. Pozytywne odczucia w tym zakresie (odpowiedzi „Dobrze” lub „Bardzo dobrze”) ma niecałe 13% ankietowanych. Dostęp do gastronomii był jedynym tak surowo ocenianym zagadnieniem w tej części ankiety. O pozostałych usługach (np. dostępie do szkół, przedszkoli, przychodni, sklepów czy wydarzeń kulturalnych i sportowych) mieszkańcy wypowiadali się pozytywnie.</w:t>
      </w:r>
    </w:p>
    <w:p>
      <w:pPr>
        <w:pStyle w:val="Normal"/>
        <w:rPr/>
      </w:pPr>
      <w:r>
        <w:rPr/>
        <w:t xml:space="preserve">Inną potrzebą postulowaną przez mieszkańców w wywiadach grupowych i ankietach jest zorganizowanie przestrzeni do spotkań i aktywności dla młodzieży. Młodzi ludzie żyjący w Nowym Miasteczku chcieliby poczuć się gospodarzami w swoim miejscu zamieszkania, mieć większy wpływ na to, jakie wydarzenia są organizowane (głos z ankiety: „chociaż jedna dodatkowa impreza integracyjna dla młodzieży i dorosłych, na której będzie można się pobawić przy muzyce nowoczesnej i zintegrować z innymi mieszkańcami”). </w:t>
      </w:r>
    </w:p>
    <w:p>
      <w:pPr>
        <w:pStyle w:val="Normal"/>
        <w:rPr/>
      </w:pPr>
      <w:r>
        <w:rPr/>
        <w:t xml:space="preserve">W tym kontekście należy dodać, że niewątpliwym potencjałem możliwym do wykorzystania przy próbie spełnienia powyższych postulatów jest działalność Gminnego Ośrodka Kultury, proponującego szereg aktywności dla różnych grup mieszkańców. Mieszkańcy pytani w ankietach o wydarzenie, w którym ostatnio uczestniczyli, wskazywali m.in. festiwal Bluesobranie, dożynki, bieg niepodległościowy, dzień seniora czy koncert patriotyczny. </w:t>
      </w:r>
    </w:p>
    <w:p>
      <w:pPr>
        <w:pStyle w:val="Fotografie"/>
        <w:rPr/>
      </w:pPr>
      <w:bookmarkStart w:id="19" w:name="_Toc216991219"/>
      <w:r>
        <w:rPr/>
        <w:t>Fotografia 3. Występ na dożynkach organizowanych przez Gminny Ośrodek Kultury</w:t>
      </w:r>
      <w:bookmarkEnd w:id="19"/>
    </w:p>
    <w:p>
      <w:pPr>
        <w:pStyle w:val="Normal"/>
        <w:jc w:val="center"/>
        <w:rPr>
          <w:b/>
          <w:bCs/>
        </w:rPr>
      </w:pPr>
      <w:r>
        <w:rPr/>
        <w:drawing>
          <wp:inline distT="0" distB="0" distL="0" distR="0">
            <wp:extent cx="4675505" cy="3506470"/>
            <wp:effectExtent l="0" t="0" r="0" b="0"/>
            <wp:docPr id="10" name="Obraz8" descr="Obraz zawierający koncert, instrument muzyczny, Wyposażenie sceniczne, gitara&#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8" descr="Obraz zawierający koncert, instrument muzyczny, Wyposażenie sceniczne, gitara&#10;&#10;Zawartość wygenerowana przez AI może być niepoprawna." title=""/>
                    <pic:cNvPicPr>
                      <a:picLocks noChangeAspect="1" noChangeArrowheads="1"/>
                    </pic:cNvPicPr>
                  </pic:nvPicPr>
                  <pic:blipFill>
                    <a:blip r:embed="rId15"/>
                    <a:stretch>
                      <a:fillRect/>
                    </a:stretch>
                  </pic:blipFill>
                  <pic:spPr bwMode="auto">
                    <a:xfrm>
                      <a:off x="0" y="0"/>
                      <a:ext cx="4675505" cy="3506470"/>
                    </a:xfrm>
                    <a:prstGeom prst="rect">
                      <a:avLst/>
                    </a:prstGeom>
                    <a:noFill/>
                  </pic:spPr>
                </pic:pic>
              </a:graphicData>
            </a:graphic>
          </wp:inline>
        </w:drawing>
      </w:r>
    </w:p>
    <w:p>
      <w:pPr>
        <w:pStyle w:val="Normal"/>
        <w:rPr/>
      </w:pPr>
      <w:r>
        <w:rPr/>
        <w:t>Niezwykle istotnym elementem diagnozy w odniesieniu do sfery społecznej jest stan bezpieczeństwa w obrębie obszaru rewitalizacji. Przez ankietowanych jest on oceniany pozytywnie. Nieco ponad 43% ankietowanych mieszkańców ocenia stan bezpieczeństwa na obszarze rewitalizacji w Nowym Miasteczku jako dobry, zaś ponad 28% określa go jako ani dobry, ani zły. Ponadto 9% respondentów uznało stan bezpieczeństwa za bardzo dobry. Złą lub bardzo złą opinię na ten temat ma łącznie niecałe 13% ankietowanych mieszkańców, z przewagą odpowiedzi „zły”. Nieco inaczej rozkład odpowiedzi kształtował się w odniesieniu do obszaru rewitalizacji w Niecieczy. Tam dominowała odpowiedź „nie mam zdania”, zapewne z tego względu, że większość ankietowanych nie przebywa w tym sołectwie. Warto odnotować, że odsetek odpowiedzi określających stan bezpieczeństwa jako zły lub bardzo zły również w tej części obszaru rewitalizacji jest niewielki (łącznie 12%). Duża rozpiętość odpowiedzi wskazuje, że bezpieczeństwo, także w przestrzeni publicznej, jest ważnym zagadnieniem dla mieszkańców Gminy Nowe Miasteczko, ale jego ocena jest mocno subiektywna. Należy jednak zauważyć, że poziom bezpieczeństwa w zasadzie nie pojawiał się w odpowiedziach na pytania otwarte dotyczące największych problemów na obszarze rewitalizacji. To zagadnienie poruszyła zaledwie jedna spośród 147 ankietowanych osób. Część mieszkańców wręcz wskazywała spokój, ciszę i bezpieczeństwo jako główne zalety życia w Nowym Miasteczku.</w:t>
      </w:r>
    </w:p>
    <w:p>
      <w:pPr>
        <w:pStyle w:val="Wykresy2"/>
        <w:rPr/>
      </w:pPr>
      <w:bookmarkStart w:id="20" w:name="_Toc216991214"/>
      <w:r>
        <w:rPr/>
        <w:t>Wykres 2. Ocena stanu bezpieczeństwa obszaru rewitalizacji przez mieszkańców</w:t>
      </w:r>
      <w:bookmarkEnd w:id="20"/>
    </w:p>
    <w:p>
      <w:pPr>
        <w:pStyle w:val="Normal"/>
        <w:rPr/>
      </w:pPr>
      <w:r>
        <w:rPr/>
        <w:drawing>
          <wp:inline distT="0" distB="0" distL="0" distR="0">
            <wp:extent cx="5588000" cy="2713990"/>
            <wp:effectExtent l="0" t="0" r="0" b="0"/>
            <wp:docPr id="11" name="Obiekt2" descr="" title=""/>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pPr>
        <w:pStyle w:val="Normal"/>
        <w:rPr/>
      </w:pPr>
      <w:r>
        <w:rPr/>
        <w:t>Niezależnie od tak kształtujących się wyników ankiet, w wywiadach grupowych mieszkańcy często zwracali uwagę na aspekt bezpieczeństwa związany z ruchem samochodowym. W ich ocenie ruch ciężkich samochodów przez Rynek, a także deficyty w infrastrukturze drogowej (brak chodników, oświetlenia ulicznego, progów zwalniających) negatywnie wpływają na poziom bezpieczeństwa pieszych i rowerzystów.</w:t>
      </w:r>
    </w:p>
    <w:p>
      <w:pPr>
        <w:pStyle w:val="Normal"/>
        <w:rPr/>
      </w:pPr>
      <w:r>
        <w:rPr/>
        <w:t>Z kolei dane dotyczące liczby interwencji Policji ogółem bez zdarzeń drogowych w 2024 roku wskazują, że nasilają się one w dwóch fragmentach obszaru rewitalizacji w Nowym Miasteczku: w obrębie Rynku i jego bezpośrednim sąsiedztwie, a także w okolicach stadionu sportowego. Charakter tych miejsc, jak również opisywane wcześniej spostrzeżenia zawarte w ankietach, mogą skłaniać do wysnucia tezy, iż częste interwencje Policji w tych rejonach prawdopodobnie spowodowane są spożywaniem alkoholu w miejscach niedozwolonych.</w:t>
      </w:r>
    </w:p>
    <w:p>
      <w:pPr>
        <w:pStyle w:val="Normal"/>
        <w:rPr/>
      </w:pPr>
      <w:r>
        <w:rPr/>
        <w:t>Podsumowując, obszar rewitalizacji w Nowym Miasteczku charakteryzuje się dużym zróżnicowaniem społecznym, zaś największymi problemami są szybko malejąca liczba mieszkańców i duża liczba przypadków bezradności w sprawach opiekuńczo-wychowawczych i prowadzenia gospodarstwa domowego. Widoczne są deficyty w ofercie dla młodych. Jednocześnie istnieje znaczący potencjał aktywności obywatelskiej i działań oddolnych – mieszkańcy deklarują gotowość zaangażowania się w działania rewitalizacyjne. Ważną funkcję pełnią lokalne organizacje pozarządowe oraz gminne jednostki organizacyjne.</w:t>
        <w:tab/>
      </w:r>
    </w:p>
    <w:p>
      <w:pPr>
        <w:pStyle w:val="Heading2"/>
        <w:rPr/>
      </w:pPr>
      <w:bookmarkStart w:id="21" w:name="_Toc216991157"/>
      <w:r>
        <w:rPr/>
        <w:t>2.3. Diagnoza zjawisk przestrzenno-funkcjonalnych</w:t>
      </w:r>
      <w:bookmarkEnd w:id="21"/>
    </w:p>
    <w:p>
      <w:pPr>
        <w:pStyle w:val="Normal"/>
        <w:rPr>
          <w:rFonts w:ascii="Aptos" w:hAnsi="Aptos"/>
        </w:rPr>
      </w:pPr>
      <w:r>
        <w:rPr/>
        <w:t xml:space="preserve">Ważny zasób gminy dla integracji społecznej stanowią przestrzenie publiczne i ogólnie zorganizowane miejsca służące spędzaniu wolnego czasu. W tym kontekście warto przeanalizować odpowiedzi na pytanie o ulubione miejsca w Gminie Nowe Miasteczko. Bardzo często w badaniu ankietowym wskazywano kąpielisko „Stawy” („bo to jedyne miejsce jeszcze nie zniszczone”, „bo na stawach jest teraz pięknie”, „odnowiony obiekt, urokliwe i spokojne miejsce”) – wymieniło je aż 61 osób (41% respondentów), czasem w powiązaniu z innymi miejscami. Miejsce to urasta więc do rangi głównej przestrzeni publicznej w Gminie Nowe Miasteczko. Chętnie wymieniane są też stadion MKS i hala sportowa – wymieniło je łącznie 20 osób (czyli 7% wszystkich odpowiedzi) – oraz okoliczne lasy (szczególnie kilkukrotnie wymieniany „lasek szkolny”, jako miejsce dobre na spacery i o pięknej naturze), pojawiły się także ROD „Tulipan” (działki ogrodowe). </w:t>
      </w:r>
    </w:p>
    <w:p>
      <w:pPr>
        <w:pStyle w:val="Fotografie"/>
        <w:rPr>
          <w:rFonts w:ascii="Aptos" w:hAnsi="Aptos"/>
        </w:rPr>
      </w:pPr>
      <w:bookmarkStart w:id="22" w:name="_Toc216991220"/>
      <w:r>
        <w:rPr/>
        <w:t>Fotografia 4. Hala sportowa i fragment skateparku na obszarze rewitalizacji w Nowym Miasteczku</w:t>
      </w:r>
      <w:bookmarkEnd w:id="22"/>
    </w:p>
    <w:p>
      <w:pPr>
        <w:pStyle w:val="Normal"/>
        <w:jc w:val="center"/>
        <w:rPr>
          <w:rFonts w:ascii="Aptos" w:hAnsi="Aptos"/>
        </w:rPr>
      </w:pPr>
      <w:r>
        <w:rPr/>
        <w:drawing>
          <wp:inline distT="0" distB="0" distL="0" distR="0">
            <wp:extent cx="2692400" cy="2020570"/>
            <wp:effectExtent l="0" t="0" r="0" b="0"/>
            <wp:docPr id="12" name="Obraz 1" descr="Obraz zawierający na wolnym powietrzu, niebo, drzewo, budynek&#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 descr="Obraz zawierający na wolnym powietrzu, niebo, drzewo, budynek&#10;&#10;Zawartość wygenerowana przez AI może być niepoprawna." title=""/>
                    <pic:cNvPicPr>
                      <a:picLocks noChangeAspect="1" noChangeArrowheads="1"/>
                    </pic:cNvPicPr>
                  </pic:nvPicPr>
                  <pic:blipFill>
                    <a:blip r:embed="rId17"/>
                    <a:stretch>
                      <a:fillRect/>
                    </a:stretch>
                  </pic:blipFill>
                  <pic:spPr bwMode="auto">
                    <a:xfrm>
                      <a:off x="0" y="0"/>
                      <a:ext cx="2692400" cy="2020570"/>
                    </a:xfrm>
                    <a:prstGeom prst="rect">
                      <a:avLst/>
                    </a:prstGeom>
                    <a:noFill/>
                  </pic:spPr>
                </pic:pic>
              </a:graphicData>
            </a:graphic>
          </wp:inline>
        </w:drawing>
      </w:r>
      <w:r>
        <w:rPr/>
        <w:t xml:space="preserve">   </w:t>
      </w:r>
      <w:r>
        <w:rPr/>
        <w:drawing>
          <wp:inline distT="0" distB="0" distL="0" distR="0">
            <wp:extent cx="2703830" cy="2028825"/>
            <wp:effectExtent l="0" t="0" r="0" b="0"/>
            <wp:docPr id="13" name="Obraz10" descr="Obraz zawierający na wolnym powietrzu, niebo, drzewo, ziemia&#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10" descr="Obraz zawierający na wolnym powietrzu, niebo, drzewo, ziemia&#10;&#10;Zawartość wygenerowana przez AI może być niepoprawna." title=""/>
                    <pic:cNvPicPr>
                      <a:picLocks noChangeAspect="1" noChangeArrowheads="1"/>
                    </pic:cNvPicPr>
                  </pic:nvPicPr>
                  <pic:blipFill>
                    <a:blip r:embed="rId18"/>
                    <a:stretch>
                      <a:fillRect/>
                    </a:stretch>
                  </pic:blipFill>
                  <pic:spPr bwMode="auto">
                    <a:xfrm>
                      <a:off x="0" y="0"/>
                      <a:ext cx="2703830" cy="2028825"/>
                    </a:xfrm>
                    <a:prstGeom prst="rect">
                      <a:avLst/>
                    </a:prstGeom>
                    <a:noFill/>
                  </pic:spPr>
                </pic:pic>
              </a:graphicData>
            </a:graphic>
          </wp:inline>
        </w:drawing>
      </w:r>
    </w:p>
    <w:p>
      <w:pPr>
        <w:pStyle w:val="Normal"/>
        <w:rPr>
          <w:rFonts w:ascii="Aptos" w:hAnsi="Aptos"/>
        </w:rPr>
      </w:pPr>
      <w:r>
        <w:rPr/>
        <w:t>Co zaskakujące, marginalną rolę pełni niestety Rynek w Nowym Miasteczku – jako ulubione miejsce wymieniły go tylko 2 osoby. Co prawda 13% ankietowanych deklaruje, że codziennie załatwia sprawy lub korzysta z usług położonych przy Rynku, 24% robi to kilka razy w tygodniu, a ponad 20% kilka razy w miesiącu. Rynek w Nowym Miasteczku wpisany jest w historyczny zespół urbanistyczno-architektoniczny, posiada XVII-wieczny Ratusz (przebudowany w XVIII-XIX wieku), jak również kamienice z XVIII, XIX i XX wieku. Wydaje się jednak, że miejsce to nie tworzy atrakcyjnej przestrzeni publicznej, służącej wypoczynkowi i interakcjom społecznym, a głównie służy załatwianiu konkretnych spraw, jako centralny punkt miasta. Mieszkańcy preferują miejsca zielone i typowo rekreacyjne.</w:t>
      </w:r>
    </w:p>
    <w:p>
      <w:pPr>
        <w:pStyle w:val="Normal"/>
        <w:rPr>
          <w:rFonts w:ascii="Aptos" w:hAnsi="Aptos"/>
        </w:rPr>
      </w:pPr>
      <w:r>
        <w:rPr/>
        <w:t>Mieszkańcom zadano w ankiecie także pytania o dostępność konkretnych kategorii usług. Można to interpretować nie tylko jako dostępność przestrzenną bądź czasową, ale także jako ocenę jakości usług publicznych świadczonych przez samorząd lokalny lub usług, które świadczą podmioty komercyjne albo organizacje pożytku publicznego. W przypadku usług publicznych świadczonych głównie przez samorząd, w zakresie dostępu do edukacji, w tym szkół i przedszkoli, przeważały zdecydowanie oceny dobre i bardzo dobre. Drugą kategorią, w której dominowały tak pozytywne oceny, była łatwość załatwiania różnych spraw w urzędzie gminy.</w:t>
      </w:r>
    </w:p>
    <w:p>
      <w:pPr>
        <w:pStyle w:val="Normal"/>
        <w:rPr>
          <w:rFonts w:ascii="Aptos" w:hAnsi="Aptos"/>
        </w:rPr>
      </w:pPr>
      <w:r>
        <w:rPr/>
        <w:t xml:space="preserve">Względnie wysoką ocenę zyskał dostęp do sklepów i punktów usługowych, chociaż tutaj odsetek głosów, że ta dostępność jest zła lub nawet bardzo zła, był znacznie większy, a także więcej było ocen neutralnych „ani dobra, ani zła”. Zapewne przyczyną jest fakt, że usługi wyższego rzędu, np. specjalistyczne sklepy i usługi, są lokowane w większych ośrodkach. Również sklepy wielkopowierzchniowe i galerie handlowe zlokalizowane są w ośrodkach oddalonych o ok. 30 km, przede wszystkim w Zielonej Górze, a ponadto w Głogowie, Polkowicach i Żaganiu, a najbliżej w Nowej Soli, oddalonej o około 15 km. </w:t>
      </w:r>
    </w:p>
    <w:p>
      <w:pPr>
        <w:pStyle w:val="Normal"/>
        <w:rPr>
          <w:rFonts w:ascii="Aptos" w:hAnsi="Aptos"/>
        </w:rPr>
      </w:pPr>
      <w:r>
        <w:rPr/>
        <w:t>Podobnie względnie pozytywnie (dobrze i bardzo dobrze), chociaż z udziałem ocen złych i bardzo złych, oceniana była dostępność do terenów rekreacyjnych (np. parki, skwery). W tym zakresie znaczenie może mieć bliskość atrakcyjnych przyrodniczo terenów – obszar chronionego krajobrazu Wzgórza Dalkowskie, urządzone tereny kąpieliska „Stawy” czy też zagospodarowanie niektórych skwerów. Również podobne oceny, z przewagą dobrych i dużym odsetkiem neutralnych, zyskały pytania dotyczące dostępu do oferty kulturalno-sportowej dla młodzieży, wydarzeń sportowych (na co z pewnością wpływa korzystanie ze Stadionu MKS i Hali Sportowej) oraz do placówek opieki zdrowotnej (co jest zaskakujące, jak na tak mały ośrodek miejski i sugeruje dobrą ocenę tutejszych specjalistów). Oferta kulturalna została oceniona głównie neutralnie („ani dobrze, ani źle”), a częściowo też dobrze (w Nowym Miasteczku funkcjonuje Gminny Ośrodek Kultury), natomiast najgorzej został oceniony dostęp do oferty gastronomicznej – głównie bardzo źle lub źle.</w:t>
      </w:r>
    </w:p>
    <w:p>
      <w:pPr>
        <w:pStyle w:val="Normal"/>
        <w:rPr>
          <w:rFonts w:ascii="Aptos" w:hAnsi="Aptos"/>
        </w:rPr>
      </w:pPr>
      <w:r>
        <w:rPr/>
        <w:t xml:space="preserve">Wśród problemów i deficytów mieszkańcy wskazują na infrastrukturę transportową i komunikację – zły stan dróg, oświetlenie dróg, czystość ulic, brak komunikacji na dalsze odległości i dojazdu autobusów, bardzo rzadkie kursowanie autobusów, braki chodników, przejść dla pieszych, sygnalizacji świetlnej, ograniczenia prędkości, ścieżek rowerowych, duży ruch uliczny oraz tranzyt w Rynku, brak dobrej drogi do Niecieczy. Postulowano zwiększenie liczby parkingów, a z drugiej strony – zakaz parkowania przy ul. Słowackiego, a także remont przystanku autobusowego bądź budowę poczekalni. Pojawił się postulat stałego posterunku Policji w mieście. </w:t>
      </w:r>
    </w:p>
    <w:p>
      <w:pPr>
        <w:pStyle w:val="Normal"/>
        <w:rPr/>
      </w:pPr>
      <w:r>
        <w:rPr/>
        <w:t>Warty uwagi jest głos o braku zainteresowania stanem osiedla po PGR przy ulicy 22 Lipca. Wskazano na potrzeby w zakresie wymiany nawierzchni, wymiany placu zabaw dla dzieci, zorganizowania terenów zielonych, stworzenia miejsc rekreacji i wypoczynku dla osób starszych, pomocy spółdzielni mieszkaniowej w Nowym Miasteczku przy poprawie stanu osiedla, wymiany źródeł ogrzewania w budynkach wielorodzinnych byłych pracowników PGR na źródła ekologiczne.</w:t>
      </w:r>
    </w:p>
    <w:p>
      <w:pPr>
        <w:pStyle w:val="Normal"/>
        <w:rPr>
          <w:rFonts w:ascii="Aptos" w:hAnsi="Aptos"/>
        </w:rPr>
      </w:pPr>
      <w:r>
        <w:rPr/>
        <w:t>Na terenach rewitalizacji w Nowym Miasteczku brak jest rozsianych, niewielkich miejsc spotkań i rekreacji (zieleń, ławki dospołeczne, stojaki rowerowe, kosze na śmieci, place zabaw dla dzieci zachęcające do swobodnej zabawy, a jednocześnie harmonijnie wpisane we wnętrza krajobrazowe miasta/wsi) lub ich zagospodarowanie wymaga dozielenienia i doposażenia. Przestrzenie półpubliczne oraz podwórka są w dużej mierze niezagospodarowane lub stan ich zagospodarowania jest niedostosowany do obecnych potrzeb oraz wpływa na negatywnie na walory estetyczne okolicy. Przestrzenie zarówno publiczne, jak i półpubliczne wymagają poprawy stanu technicznego (chodniki, drogi), jak i zadbania o bezpieczeństwo (oświetlenie i monitoring).</w:t>
      </w:r>
    </w:p>
    <w:p>
      <w:pPr>
        <w:pStyle w:val="Caption"/>
        <w:jc w:val="center"/>
        <w:rPr/>
      </w:pPr>
      <w:r>
        <w:rPr/>
      </w:r>
    </w:p>
    <w:p>
      <w:pPr>
        <w:pStyle w:val="Caption"/>
        <w:jc w:val="center"/>
        <w:rPr/>
      </w:pPr>
      <w:r>
        <w:rPr/>
      </w:r>
    </w:p>
    <w:p>
      <w:pPr>
        <w:pStyle w:val="Caption"/>
        <w:jc w:val="center"/>
        <w:rPr/>
      </w:pPr>
      <w:r>
        <w:rPr/>
      </w:r>
    </w:p>
    <w:p>
      <w:pPr>
        <w:pStyle w:val="Caption"/>
        <w:jc w:val="center"/>
        <w:rPr/>
      </w:pPr>
      <w:r>
        <w:rPr/>
      </w:r>
    </w:p>
    <w:p>
      <w:pPr>
        <w:pStyle w:val="Caption"/>
        <w:jc w:val="center"/>
        <w:rPr/>
      </w:pPr>
      <w:r>
        <w:rPr/>
      </w:r>
    </w:p>
    <w:p>
      <w:pPr>
        <w:pStyle w:val="Fotografie"/>
        <w:rPr/>
      </w:pPr>
      <w:bookmarkStart w:id="23" w:name="_Toc216991221"/>
      <w:r>
        <w:rPr/>
        <w:t>Fotografia 5. Inicjatywy oddolne w zakresie zagospodarowania przestrzeni podwórek.</w:t>
      </w:r>
      <w:bookmarkEnd w:id="23"/>
    </w:p>
    <w:p>
      <w:pPr>
        <w:pStyle w:val="Normal"/>
        <w:keepNext w:val="true"/>
        <w:rPr/>
      </w:pPr>
      <w:r>
        <w:rPr/>
        <w:drawing>
          <wp:inline distT="0" distB="0" distL="0" distR="0">
            <wp:extent cx="2673350" cy="2005965"/>
            <wp:effectExtent l="0" t="0" r="0" b="0"/>
            <wp:docPr id="14" name="Obraz11"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11" descr="" title=""/>
                    <pic:cNvPicPr>
                      <a:picLocks noChangeAspect="1" noChangeArrowheads="1"/>
                    </pic:cNvPicPr>
                  </pic:nvPicPr>
                  <pic:blipFill>
                    <a:blip r:embed="rId19"/>
                    <a:stretch>
                      <a:fillRect/>
                    </a:stretch>
                  </pic:blipFill>
                  <pic:spPr bwMode="auto">
                    <a:xfrm>
                      <a:off x="0" y="0"/>
                      <a:ext cx="2673350" cy="2005965"/>
                    </a:xfrm>
                    <a:prstGeom prst="rect">
                      <a:avLst/>
                    </a:prstGeom>
                    <a:noFill/>
                  </pic:spPr>
                </pic:pic>
              </a:graphicData>
            </a:graphic>
          </wp:inline>
        </w:drawing>
      </w:r>
      <w:r>
        <w:rPr/>
        <w:t xml:space="preserve">    </w:t>
      </w:r>
      <w:r>
        <w:rPr/>
        <w:drawing>
          <wp:inline distT="0" distB="0" distL="0" distR="0">
            <wp:extent cx="2668270" cy="2004060"/>
            <wp:effectExtent l="0" t="0" r="0" b="0"/>
            <wp:docPr id="15" name="Obraz 12"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2" descr="" title=""/>
                    <pic:cNvPicPr>
                      <a:picLocks noChangeAspect="1" noChangeArrowheads="1"/>
                    </pic:cNvPicPr>
                  </pic:nvPicPr>
                  <pic:blipFill>
                    <a:blip r:embed="rId20"/>
                    <a:stretch>
                      <a:fillRect/>
                    </a:stretch>
                  </pic:blipFill>
                  <pic:spPr bwMode="auto">
                    <a:xfrm>
                      <a:off x="0" y="0"/>
                      <a:ext cx="2668270" cy="2004060"/>
                    </a:xfrm>
                    <a:prstGeom prst="rect">
                      <a:avLst/>
                    </a:prstGeom>
                    <a:noFill/>
                  </pic:spPr>
                </pic:pic>
              </a:graphicData>
            </a:graphic>
          </wp:inline>
        </w:drawing>
      </w:r>
    </w:p>
    <w:p>
      <w:pPr>
        <w:pStyle w:val="Fotografie"/>
        <w:rPr/>
      </w:pPr>
      <w:bookmarkStart w:id="24" w:name="_Toc216991222"/>
      <w:r>
        <w:rPr/>
        <w:t>Fotografia 6. Niska estetyka przestrzeni publicznych i podwórek.</w:t>
      </w:r>
      <w:bookmarkEnd w:id="24"/>
    </w:p>
    <w:p>
      <w:pPr>
        <w:pStyle w:val="Normal"/>
        <w:keepNext w:val="true"/>
        <w:rPr/>
      </w:pPr>
      <w:r>
        <w:rPr/>
        <w:t xml:space="preserve">  </w:t>
      </w:r>
      <w:r>
        <w:rPr/>
        <w:drawing>
          <wp:inline distT="0" distB="0" distL="0" distR="0">
            <wp:extent cx="2622550" cy="1967865"/>
            <wp:effectExtent l="0" t="0" r="0" b="0"/>
            <wp:docPr id="16" name="Obraz 8" descr="Obraz zawierający na wolnym powietrzu, niebo, budynek, chmura&#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8" descr="Obraz zawierający na wolnym powietrzu, niebo, budynek, chmura&#10;&#10;Zawartość wygenerowana przez AI może być niepoprawna." title=""/>
                    <pic:cNvPicPr>
                      <a:picLocks noChangeAspect="1" noChangeArrowheads="1"/>
                    </pic:cNvPicPr>
                  </pic:nvPicPr>
                  <pic:blipFill>
                    <a:blip r:embed="rId21"/>
                    <a:stretch>
                      <a:fillRect/>
                    </a:stretch>
                  </pic:blipFill>
                  <pic:spPr bwMode="auto">
                    <a:xfrm>
                      <a:off x="0" y="0"/>
                      <a:ext cx="2622550" cy="1967865"/>
                    </a:xfrm>
                    <a:prstGeom prst="rect">
                      <a:avLst/>
                    </a:prstGeom>
                    <a:noFill/>
                  </pic:spPr>
                </pic:pic>
              </a:graphicData>
            </a:graphic>
          </wp:inline>
        </w:drawing>
      </w:r>
      <w:r>
        <w:rPr/>
        <w:t xml:space="preserve">  </w:t>
      </w:r>
      <w:r>
        <w:rPr/>
        <w:drawing>
          <wp:inline distT="0" distB="0" distL="0" distR="0">
            <wp:extent cx="2623820" cy="1969135"/>
            <wp:effectExtent l="0" t="0" r="0" b="0"/>
            <wp:docPr id="17" name="Obraz 10" descr="Obraz zawierający na wolnym powietrzu, budynek, jesień, Ruiny&#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az 10" descr="Obraz zawierający na wolnym powietrzu, budynek, jesień, Ruiny&#10;&#10;Zawartość wygenerowana przez AI może być niepoprawna." title=""/>
                    <pic:cNvPicPr>
                      <a:picLocks noChangeAspect="1" noChangeArrowheads="1"/>
                    </pic:cNvPicPr>
                  </pic:nvPicPr>
                  <pic:blipFill>
                    <a:blip r:embed="rId22"/>
                    <a:stretch>
                      <a:fillRect/>
                    </a:stretch>
                  </pic:blipFill>
                  <pic:spPr bwMode="auto">
                    <a:xfrm>
                      <a:off x="0" y="0"/>
                      <a:ext cx="2623820" cy="1969135"/>
                    </a:xfrm>
                    <a:prstGeom prst="rect">
                      <a:avLst/>
                    </a:prstGeom>
                    <a:noFill/>
                  </pic:spPr>
                </pic:pic>
              </a:graphicData>
            </a:graphic>
          </wp:inline>
        </w:drawing>
      </w:r>
    </w:p>
    <w:p>
      <w:pPr>
        <w:pStyle w:val="Normal"/>
        <w:rPr>
          <w:rFonts w:ascii="Aptos" w:hAnsi="Aptos"/>
        </w:rPr>
      </w:pPr>
      <w:r>
        <w:rPr/>
        <w:t>W zakresie obszaru rewitalizacji w Niecieczy udało się uzyskać w badaniu ankietowym mniej głosów, jednakże mieszkańcy zwracali uwagę na wykluczenie komunikacyjne (brak dojazdu PKS), brak świetlicy wiejskiej, kościoła, brak nawierzchni drogowej w dobrym stanie, brak boiska do gry w piłkę nożną czy siatkową, skweru i małej infrastruktury, brak kanalizacji, brak chodnika przez wieś, brak dobrej drogi dojazdowej do wsi wraz ze ścieżką rowerową, zanieczyszczenie powietrza związane z paleniem w piecach, niebezpieczną szybką jazdę samochodami.</w:t>
      </w:r>
    </w:p>
    <w:p>
      <w:pPr>
        <w:pStyle w:val="Normal"/>
        <w:shd w:val="clear" w:color="auto" w:fill="FFFFFF"/>
        <w:rPr>
          <w:rFonts w:eastAsia="Times New Roman" w:cs="Aptos" w:cstheme="minorHAnsi"/>
          <w:i/>
          <w:i/>
          <w:iCs/>
          <w:color w:themeColor="accent1" w:val="4472C4"/>
          <w:kern w:val="0"/>
          <w:lang w:eastAsia="pl-PL"/>
          <w14:ligatures w14:val="none"/>
        </w:rPr>
      </w:pPr>
      <w:r>
        <w:rPr>
          <w:rFonts w:eastAsia="Times New Roman" w:cs="Aptos" w:cstheme="minorHAnsi"/>
          <w:i/>
          <w:iCs/>
          <w:color w:themeColor="accent1" w:val="4472C4"/>
          <w:kern w:val="0"/>
          <w:lang w:eastAsia="pl-PL"/>
          <w14:ligatures w14:val="none"/>
        </w:rPr>
        <w:t>Dziedzictwo kulturowe i tkanka zabytkowa</w:t>
      </w:r>
    </w:p>
    <w:p>
      <w:pPr>
        <w:pStyle w:val="Normal"/>
        <w:shd w:val="clear" w:color="auto" w:fill="FFFFFF"/>
        <w:rPr>
          <w:rFonts w:ascii="Aptos" w:hAnsi="Aptos" w:eastAsia="Times New Roman" w:cs="Aptos" w:cstheme="minorHAnsi"/>
          <w:color w:val="0A0A0A"/>
          <w:kern w:val="0"/>
          <w:lang w:eastAsia="pl-PL"/>
          <w14:ligatures w14:val="none"/>
        </w:rPr>
      </w:pPr>
      <w:r>
        <w:rPr>
          <w:rFonts w:eastAsia="Times New Roman" w:cs="Aptos" w:cstheme="minorHAnsi"/>
          <w:color w:val="0A0A0A"/>
          <w:kern w:val="0"/>
          <w:lang w:eastAsia="pl-PL"/>
          <w14:ligatures w14:val="none"/>
        </w:rPr>
        <w:t xml:space="preserve">Ze względu na wielowiekową historię Nowego Miasteczka, jak również ponadprzeciętnie wysokie nasycenie gminy tkanką zabytkową, warto szerzej zdiagnozować lokalny zasób dziedzictwa kulturowego. Nowe Miasteczko rozwinęło się z osady założonej nieopodal starszej wsi Gołaszyn. </w:t>
      </w:r>
      <w:r>
        <w:rPr/>
        <w:t xml:space="preserve">Świadczą o tym znaleziska archeologiczne z XI i XII w. Po raz pierwszy wzmiankowane jest w 1296 r., kiedy stanowiło własność książąt głogowskich. Założycielem miasta był najprawdopodobniej Henryk III. Właściciel wsi </w:t>
      </w:r>
      <w:r>
        <w:rPr>
          <w:rFonts w:eastAsia="Times New Roman" w:cs="Aptos" w:cstheme="minorHAnsi"/>
          <w:color w:val="0A0A0A"/>
          <w:kern w:val="0"/>
          <w:lang w:eastAsia="pl-PL"/>
          <w14:ligatures w14:val="none"/>
        </w:rPr>
        <w:t xml:space="preserve">uzyskał zapewne książęcą zgodę na założenie targu przy drodze tranzytowej z Polkowic do Kożuchowa. Utworzona tu osada targowa z czasem otrzymała prawa magdeburskie, co wiązało się z wprowadzeniem nowego regularnego układu przestrzennego. </w:t>
      </w:r>
    </w:p>
    <w:p>
      <w:pPr>
        <w:pStyle w:val="Normal"/>
        <w:shd w:val="clear" w:color="auto" w:fill="FFFFFF"/>
        <w:spacing w:before="0" w:after="0"/>
        <w:rPr>
          <w:rFonts w:ascii="Aptos" w:hAnsi="Aptos" w:eastAsia="Times New Roman" w:cs="Aptos" w:cstheme="minorHAnsi"/>
          <w:color w:val="0A0A0A"/>
          <w:kern w:val="0"/>
          <w:lang w:eastAsia="pl-PL"/>
          <w14:ligatures w14:val="none"/>
        </w:rPr>
      </w:pPr>
      <w:r>
        <w:rPr/>
        <w:t xml:space="preserve">Układ przestrzenny zwartej zabudowy Nowego Miasteczka, znajdującej się w granicach obszaru rewitalizacji, zlokalizowany jest na terenie lekko falistym w otwartym krajobrazie rolniczym. Panoramy miasta są silnie eksponowane z ciągów komunikacyjnych przebiegających zarówno w obrębie układu, jak i w jego sąsiedztwie. Po zachodniej stronie miasta płynie niewielka rzeka Biała Woda. Dużą wartością krajobrazu kulturowego miasta jest zachowany, eksponowany, nieznacznie przekształcony układ przestrzenny, z dużą liczbą obiektów zabytkowych i o wartościach historycznych. </w:t>
      </w:r>
    </w:p>
    <w:p>
      <w:pPr>
        <w:pStyle w:val="Fotografie"/>
        <w:rPr>
          <w:rFonts w:ascii="Aptos" w:hAnsi="Aptos"/>
        </w:rPr>
      </w:pPr>
      <w:bookmarkStart w:id="25" w:name="_Toc216991223"/>
      <w:r>
        <w:rPr/>
        <w:t>Fotografia 7. Panoramy Nowego Miasteczka dawniej i obecnie</w:t>
      </w:r>
      <w:bookmarkEnd w:id="25"/>
    </w:p>
    <w:p>
      <w:pPr>
        <w:pStyle w:val="Normal"/>
        <w:rPr>
          <w:rFonts w:ascii="Aptos" w:hAnsi="Aptos"/>
        </w:rPr>
      </w:pPr>
      <w:r>
        <w:rPr/>
        <w:drawing>
          <wp:inline distT="0" distB="0" distL="0" distR="0">
            <wp:extent cx="2560320" cy="1580515"/>
            <wp:effectExtent l="0" t="0" r="0" b="0"/>
            <wp:docPr id="18" name="Obraz 19" descr="Obraz zawierający obraz, budynek, dom, rysowanie&#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19" descr="Obraz zawierający obraz, budynek, dom, rysowanie&#10;&#10;Zawartość wygenerowana przez AI może być niepoprawna." title=""/>
                    <pic:cNvPicPr>
                      <a:picLocks noChangeAspect="1" noChangeArrowheads="1"/>
                    </pic:cNvPicPr>
                  </pic:nvPicPr>
                  <pic:blipFill>
                    <a:blip r:embed="rId23"/>
                    <a:stretch>
                      <a:fillRect/>
                    </a:stretch>
                  </pic:blipFill>
                  <pic:spPr bwMode="auto">
                    <a:xfrm>
                      <a:off x="0" y="0"/>
                      <a:ext cx="2560320" cy="1580515"/>
                    </a:xfrm>
                    <a:prstGeom prst="rect">
                      <a:avLst/>
                    </a:prstGeom>
                    <a:noFill/>
                  </pic:spPr>
                </pic:pic>
              </a:graphicData>
            </a:graphic>
          </wp:inline>
        </w:drawing>
      </w:r>
      <w:r>
        <w:rPr/>
        <w:t xml:space="preserve"> </w:t>
      </w:r>
      <w:r>
        <w:rPr/>
        <w:drawing>
          <wp:inline distT="0" distB="0" distL="0" distR="0">
            <wp:extent cx="3145790" cy="1569720"/>
            <wp:effectExtent l="0" t="0" r="0" b="0"/>
            <wp:docPr id="19" name="Obraz13" descr="Obraz zawierający na wolnym powietrzu, niebo, chmura, budynek&#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13" descr="Obraz zawierający na wolnym powietrzu, niebo, chmura, budynek&#10;&#10;Zawartość wygenerowana przez AI może być niepoprawna." title=""/>
                    <pic:cNvPicPr>
                      <a:picLocks noChangeAspect="1" noChangeArrowheads="1"/>
                    </pic:cNvPicPr>
                  </pic:nvPicPr>
                  <pic:blipFill>
                    <a:blip r:embed="rId24"/>
                    <a:srcRect l="0" t="23301" r="0" b="10286"/>
                    <a:stretch>
                      <a:fillRect/>
                    </a:stretch>
                  </pic:blipFill>
                  <pic:spPr bwMode="auto">
                    <a:xfrm>
                      <a:off x="0" y="0"/>
                      <a:ext cx="3145790" cy="1569720"/>
                    </a:xfrm>
                    <a:prstGeom prst="rect">
                      <a:avLst/>
                    </a:prstGeom>
                    <a:noFill/>
                  </pic:spPr>
                </pic:pic>
              </a:graphicData>
            </a:graphic>
          </wp:inline>
        </w:drawing>
      </w:r>
      <w:r>
        <w:rPr/>
        <w:t xml:space="preserve">   </w:t>
      </w:r>
    </w:p>
    <w:p>
      <w:pPr>
        <w:pStyle w:val="Normal"/>
        <w:rPr>
          <w:rFonts w:ascii="Aptos" w:hAnsi="Aptos"/>
        </w:rPr>
      </w:pPr>
      <w:r>
        <w:rPr/>
        <w:drawing>
          <wp:inline distT="0" distB="0" distL="0" distR="0">
            <wp:extent cx="2560320" cy="1633855"/>
            <wp:effectExtent l="0" t="0" r="0" b="0"/>
            <wp:docPr id="20" name="Obraz 20" descr="Obraz zawierający pismo odręczne, na wolnym powietrzu, budynek, trawa&#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Obraz zawierający pismo odręczne, na wolnym powietrzu, budynek, trawa&#10;&#10;Zawartość wygenerowana przez AI może być niepoprawna." title=""/>
                    <pic:cNvPicPr>
                      <a:picLocks noChangeAspect="1" noChangeArrowheads="1"/>
                    </pic:cNvPicPr>
                  </pic:nvPicPr>
                  <pic:blipFill>
                    <a:blip r:embed="rId25"/>
                    <a:stretch>
                      <a:fillRect/>
                    </a:stretch>
                  </pic:blipFill>
                  <pic:spPr bwMode="auto">
                    <a:xfrm>
                      <a:off x="0" y="0"/>
                      <a:ext cx="2560320" cy="1633855"/>
                    </a:xfrm>
                    <a:prstGeom prst="rect">
                      <a:avLst/>
                    </a:prstGeom>
                    <a:noFill/>
                  </pic:spPr>
                </pic:pic>
              </a:graphicData>
            </a:graphic>
          </wp:inline>
        </w:drawing>
      </w:r>
      <w:r>
        <w:rPr/>
        <w:t xml:space="preserve"> </w:t>
      </w:r>
      <w:r>
        <w:rPr/>
        <mc:AlternateContent>
          <mc:Choice Requires="wps">
            <w:drawing>
              <wp:inline distT="0" distB="0" distL="0" distR="0" wp14:anchorId="551869AB">
                <wp:extent cx="3152775" cy="1635125"/>
                <wp:effectExtent l="0" t="0" r="0" b="3810"/>
                <wp:docPr id="21" name="Obraz 9" descr="Obraz zawierający na wolnym powietrzu, trawa, niebo, roślina&#10;&#10;Zawartość wygenerowana przez AI może być niepoprawna."/>
                <a:graphic xmlns:a="http://schemas.openxmlformats.org/drawingml/2006/main">
                  <a:graphicData uri="http://schemas.openxmlformats.org/drawingml/2006/picture">
                    <pic:pic xmlns:pic="http://schemas.openxmlformats.org/drawingml/2006/picture">
                      <pic:nvPicPr>
                        <pic:cNvPr id="22" name="Obraz 9" descr="Obraz zawierający na wolnym powietrzu, trawa, niebo, roślina&#10;&#10;Zawartość wygenerowana przez AI może być niepoprawna."/>
                        <pic:cNvPicPr/>
                      </pic:nvPicPr>
                      <pic:blipFill>
                        <a:blip r:embed="rId26">
                          <a:extLst>
                            <a:ext uri="{BEBA8EAE-BF5A-486C-A8C5-ECC9F3942E4B}">
                              <a14:imgProps xmlns:a14="http://schemas.microsoft.com/office/drawing/2010/main">
                                <a14:imgLayer r:embed="rId27">
                                  <a14:imgEffect>
                                    <a14:brightnessContrast contrast="20000"/>
                                  </a14:imgEffect>
                                </a14:imgLayer>
                              </a14:imgProps>
                            </a:ext>
                          </a:extLst>
                        </a:blip>
                        <a:srcRect l="4930" t="0" r="5987" b="0"/>
                        <a:stretch/>
                      </pic:blipFill>
                      <pic:spPr>
                        <a:xfrm>
                          <a:off x="0" y="0"/>
                          <a:ext cx="3152880" cy="1635120"/>
                        </a:xfrm>
                        <a:prstGeom prst="rect">
                          <a:avLst/>
                        </a:prstGeom>
                        <a:ln w="0">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Obraz 9" stroked="f" o:allowincell="f" style="position:absolute;margin-left:0pt;margin-top:-129.1pt;width:248.2pt;height:128.7pt;mso-wrap-style:none;v-text-anchor:middle;mso-position-vertical:top" wp14:anchorId="551869AB" type="_x0000_t75">
                <v:imagedata r:id="rId28" o:detectmouseclick="t"/>
                <v:stroke color="#3465a4" joinstyle="round" endcap="flat"/>
                <w10:wrap type="square"/>
              </v:shape>
            </w:pict>
          </mc:Fallback>
        </mc:AlternateContent>
      </w:r>
      <w:r>
        <w:rPr/>
        <w:t xml:space="preserve">    </w:t>
      </w:r>
    </w:p>
    <w:p>
      <w:pPr>
        <w:pStyle w:val="Normal"/>
        <w:keepNext w:val="true"/>
        <w:jc w:val="center"/>
        <w:rPr>
          <w:rFonts w:ascii="Aptos" w:hAnsi="Aptos"/>
        </w:rPr>
      </w:pPr>
      <w:r>
        <w:rPr/>
        <w:drawing>
          <wp:inline distT="0" distB="0" distL="0" distR="0">
            <wp:extent cx="2574290" cy="1797050"/>
            <wp:effectExtent l="0" t="0" r="0" b="0"/>
            <wp:docPr id="23" name="Obraz12" descr="Obraz zawierający na wolnym powietrzu, niebo, drzewo, budynek&#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az12" descr="Obraz zawierający na wolnym powietrzu, niebo, drzewo, budynek&#10;&#10;Zawartość wygenerowana przez AI może być niepoprawna." title=""/>
                    <pic:cNvPicPr>
                      <a:picLocks noChangeAspect="1" noChangeArrowheads="1"/>
                    </pic:cNvPicPr>
                  </pic:nvPicPr>
                  <pic:blipFill>
                    <a:blip r:embed="rId29"/>
                    <a:srcRect l="8108" t="3015" r="26000" b="0"/>
                    <a:stretch>
                      <a:fillRect/>
                    </a:stretch>
                  </pic:blipFill>
                  <pic:spPr bwMode="auto">
                    <a:xfrm>
                      <a:off x="0" y="0"/>
                      <a:ext cx="2574290" cy="1797050"/>
                    </a:xfrm>
                    <a:prstGeom prst="rect">
                      <a:avLst/>
                    </a:prstGeom>
                    <a:noFill/>
                  </pic:spPr>
                </pic:pic>
              </a:graphicData>
            </a:graphic>
          </wp:inline>
        </w:drawing>
      </w:r>
      <w:r>
        <w:rPr/>
        <w:t xml:space="preserve">  </w:t>
      </w:r>
      <w:r>
        <w:rPr/>
        <w:drawing>
          <wp:inline distT="0" distB="0" distL="0" distR="0">
            <wp:extent cx="3113405" cy="1806575"/>
            <wp:effectExtent l="0" t="0" r="0" b="0"/>
            <wp:docPr id="24" name="Obraz14" descr="Obraz zawierający na wolnym powietrzu, niebo, trawa, drzewo&#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az14" descr="Obraz zawierający na wolnym powietrzu, niebo, trawa, drzewo&#10;&#10;Zawartość wygenerowana przez AI może być niepoprawna." title=""/>
                    <pic:cNvPicPr>
                      <a:picLocks noChangeAspect="1" noChangeArrowheads="1"/>
                    </pic:cNvPicPr>
                  </pic:nvPicPr>
                  <pic:blipFill>
                    <a:blip r:embed="rId30"/>
                    <a:srcRect l="3207" t="3400" r="6875" b="9211"/>
                    <a:stretch>
                      <a:fillRect/>
                    </a:stretch>
                  </pic:blipFill>
                  <pic:spPr bwMode="auto">
                    <a:xfrm>
                      <a:off x="0" y="0"/>
                      <a:ext cx="3113405" cy="1806575"/>
                    </a:xfrm>
                    <a:prstGeom prst="rect">
                      <a:avLst/>
                    </a:prstGeom>
                    <a:noFill/>
                  </pic:spPr>
                </pic:pic>
              </a:graphicData>
            </a:graphic>
          </wp:inline>
        </w:drawing>
      </w:r>
    </w:p>
    <w:p>
      <w:pPr>
        <w:pStyle w:val="Normal"/>
        <w:spacing w:before="160" w:after="160"/>
        <w:rPr>
          <w:rFonts w:ascii="Aptos" w:hAnsi="Aptos"/>
        </w:rPr>
      </w:pPr>
      <w:r>
        <w:rPr/>
        <w:t xml:space="preserve">Najstarszą dominantą obszaru rewitalizacji Nowego Miasta jest kościół parafialny wzniesiony w XIV w. Drugą dominantą jest zbudowany w latach 1784-1785 były zbór ewangelicki, wzniesiony w stylu klasycystycznym. Jedną z dominant przestrzennych obszaru rewitalizacji są także dwa zespoły folwarczne przy obecnej ul. Gołaszyn. Wśród zabudowy folwarcznej wyróżnia się wzniesiona tu gorzelnia i komin. Historyczną dominantą przestrzenną obszaru rewitalizacji jest także obecnie niefunkcjonujący budynek dawnej fabryki mebli ZEFAM. Forma architektoniczna obiektu, wielkość możliwej do zagospodarowania przestrzeni i lokalizacja (w bliskiej odległości rynku, ale też np. Miejskiego Klubu Sportowego), daje duże możliwości adaptacji obiektu. Adaptacja zespołu na nowe funkcje (czy poprzez działania samorządu, inwestora, czy w ramach partnerstwa publiczno-prywatnego) będzie miała istotne znaczenie dla rozwoju miasta. Ważnym elementem tożsamości lokalnej i unikalnej historii obszaru jest krajobraz kulturowy powstały na skutek działalności kopalni węgla brunatnego. Kopalnia „Maria” w Nowym Miasteczku, chociaż zlokalizowana jest poza obszarem rewitalizacji, stanowi przykład dobrze zrealizowanej adaptacji przestrzeni kulturowej do współczesnych potrzeb mieszkańców. </w:t>
      </w:r>
    </w:p>
    <w:p>
      <w:pPr>
        <w:pStyle w:val="Normal"/>
        <w:spacing w:before="160" w:after="160"/>
        <w:rPr>
          <w:rFonts w:ascii="Aptos" w:hAnsi="Aptos"/>
        </w:rPr>
      </w:pPr>
      <w:r>
        <w:rPr/>
        <w:t>Zespół urbanistyczno-krajobrazowy mieszczący się w granicach obszaru rewitalizacji stanowi strukturę o dużym nasileniu obiektów zabytkowych o wysokich wartościach historycznych i architektonicznych (zarówno wpisanych do rejestru zabytków, jak i ujętych w wojewódzkiej i gminnej ewidencji zabytków), z zachowanymi fragmentami historycznych nawierzchni i starodrzewem. Nowe Miasteczko posiada dobrze zachowany, czytelny, średniowieczny, regularny układ, rozwinięty w ciągu następnych stuleci o przedmieścia. Pierwotny plan został minimalnie zachwiany ze względu na luki w zabudowie w kwartale przyrynkowym, a także poprzez wprowadzenie budynku handlowego (ul. Długa – poza obszarem rewitalizacji), który jest elementem dysharmonizującym w krajobrazie miasta.  Część obszaru rewitalizacji mieści się w granicach układu ruralistycznego dawnej wsi Gołaszyn, który w celu zachowania historycznych i przestrzennych wartości, powinien zostać ujęty w gminnej ewidencji zabytków.</w:t>
      </w:r>
    </w:p>
    <w:p>
      <w:pPr>
        <w:pStyle w:val="Normal"/>
        <w:spacing w:before="160" w:after="160"/>
        <w:rPr>
          <w:rFonts w:ascii="Aptos" w:hAnsi="Aptos"/>
        </w:rPr>
      </w:pPr>
      <w:r>
        <w:rPr/>
        <w:t xml:space="preserve">Największymi zagrożeniami dla zachowanego historycznego rozplanowania miasta, w tym terenów dawnej wsi Gołaszyn, jest wyznaczanie nowych terenów pod zabudowę w obrębie historycznych układów lub w ich panoramie, niedostosowanych do charakteru, kompozycji oraz wartości ekspozycyjnych zespołu oraz budowa przeskalowanej gabarytowo, bezstylowej lub nienawiązujących do lokalnego charakteru zabudowy mieszkaniowej.  </w:t>
      </w:r>
    </w:p>
    <w:p>
      <w:pPr>
        <w:pStyle w:val="Normal"/>
        <w:spacing w:before="0" w:after="160"/>
        <w:contextualSpacing/>
        <w:rPr>
          <w:rFonts w:ascii="Aptos" w:hAnsi="Aptos"/>
        </w:rPr>
      </w:pPr>
      <w:r>
        <w:rPr/>
        <w:t>Gmina (stan na koniec 2025 r.) nie posiada Programu opieki nad zabytkami ani innych dokumentów mogących wspierać wykorzystanie i ochronę potencjału kulturowego miasta.</w:t>
      </w:r>
    </w:p>
    <w:p>
      <w:pPr>
        <w:pStyle w:val="Normal"/>
        <w:spacing w:before="0" w:after="160"/>
        <w:contextualSpacing/>
        <w:rPr>
          <w:rFonts w:ascii="Aptos" w:hAnsi="Aptos"/>
        </w:rPr>
      </w:pPr>
      <w:r>
        <w:rPr/>
        <w:t xml:space="preserve"> </w:t>
      </w:r>
    </w:p>
    <w:p>
      <w:pPr>
        <w:pStyle w:val="Ryciny"/>
        <w:jc w:val="center"/>
        <w:rPr/>
      </w:pPr>
      <w:r>
        <w:rPr/>
      </w:r>
    </w:p>
    <w:p>
      <w:pPr>
        <w:pStyle w:val="Ryciny"/>
        <w:jc w:val="center"/>
        <w:rPr>
          <w:rFonts w:ascii="Aptos" w:hAnsi="Aptos"/>
        </w:rPr>
      </w:pPr>
      <w:bookmarkStart w:id="26" w:name="_Toc216991212"/>
      <w:r>
        <w:rPr/>
        <w:t>Rycina 3. Zagęszczenie obiektów i obszarów zabytkowych w obrębie obszaru rewitalizacji – Stare Miasto i okolice, od lewej: wpisanych do rejestru zabytków, od prawej: ujętych w wojewódzkiej ewidencji zabytków, źródło: https://mapy.zabytek.gov.pl/nid/.</w:t>
      </w:r>
      <w:bookmarkEnd w:id="26"/>
    </w:p>
    <w:p>
      <w:pPr>
        <w:pStyle w:val="Normal"/>
        <w:spacing w:before="0" w:after="160"/>
        <w:contextualSpacing/>
        <w:rPr>
          <w:rFonts w:ascii="Aptos" w:hAnsi="Aptos"/>
        </w:rPr>
      </w:pPr>
      <w:r>
        <w:rPr>
          <w:rFonts w:ascii="Aptos" w:hAnsi="Aptos"/>
        </w:rPr>
      </w:r>
    </w:p>
    <w:p>
      <w:pPr>
        <w:pStyle w:val="nagwek3"/>
        <w:keepNext w:val="true"/>
        <w:numPr>
          <w:ilvl w:val="0"/>
          <w:numId w:val="0"/>
        </w:numPr>
        <w:spacing w:lineRule="auto" w:line="360" w:before="0" w:after="160"/>
        <w:ind w:hanging="0" w:start="0"/>
        <w:contextualSpacing/>
        <w:jc w:val="center"/>
        <w:rPr>
          <w:rFonts w:ascii="Aptos" w:hAnsi="Aptos"/>
        </w:rPr>
      </w:pPr>
      <w:r>
        <w:rPr/>
        <w:drawing>
          <wp:inline distT="0" distB="0" distL="0" distR="0">
            <wp:extent cx="2649855" cy="2322195"/>
            <wp:effectExtent l="0" t="0" r="0" b="0"/>
            <wp:docPr id="25" name="Obraz15" descr="Obraz zawierający mapa, tekst, diagram, atlas&#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15" descr="Obraz zawierający mapa, tekst, diagram, atlas&#10;&#10;Zawartość wygenerowana przez AI może być niepoprawna." title=""/>
                    <pic:cNvPicPr>
                      <a:picLocks noChangeAspect="1" noChangeArrowheads="1"/>
                    </pic:cNvPicPr>
                  </pic:nvPicPr>
                  <pic:blipFill>
                    <a:blip r:embed="rId31"/>
                    <a:stretch>
                      <a:fillRect/>
                    </a:stretch>
                  </pic:blipFill>
                  <pic:spPr bwMode="auto">
                    <a:xfrm>
                      <a:off x="0" y="0"/>
                      <a:ext cx="2649855" cy="2322195"/>
                    </a:xfrm>
                    <a:prstGeom prst="rect">
                      <a:avLst/>
                    </a:prstGeom>
                    <a:noFill/>
                  </pic:spPr>
                </pic:pic>
              </a:graphicData>
            </a:graphic>
          </wp:inline>
        </w:drawing>
      </w:r>
      <w:r>
        <w:rPr/>
        <w:t xml:space="preserve">  </w:t>
      </w:r>
      <w:r>
        <w:rPr/>
        <w:drawing>
          <wp:inline distT="0" distB="0" distL="0" distR="0">
            <wp:extent cx="2562860" cy="2343150"/>
            <wp:effectExtent l="0" t="0" r="0" b="0"/>
            <wp:docPr id="26" name="Obraz16" descr="Obraz zawierający mapa, tekst, Plan, diagram&#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raz16" descr="Obraz zawierający mapa, tekst, Plan, diagram&#10;&#10;Zawartość wygenerowana przez AI może być niepoprawna." title=""/>
                    <pic:cNvPicPr>
                      <a:picLocks noChangeAspect="1" noChangeArrowheads="1"/>
                    </pic:cNvPicPr>
                  </pic:nvPicPr>
                  <pic:blipFill>
                    <a:blip r:embed="rId32"/>
                    <a:stretch>
                      <a:fillRect/>
                    </a:stretch>
                  </pic:blipFill>
                  <pic:spPr bwMode="auto">
                    <a:xfrm>
                      <a:off x="0" y="0"/>
                      <a:ext cx="2562860" cy="2343150"/>
                    </a:xfrm>
                    <a:prstGeom prst="rect">
                      <a:avLst/>
                    </a:prstGeom>
                    <a:noFill/>
                  </pic:spPr>
                </pic:pic>
              </a:graphicData>
            </a:graphic>
          </wp:inline>
        </w:drawing>
      </w:r>
    </w:p>
    <w:p>
      <w:pPr>
        <w:pStyle w:val="Normal"/>
        <w:rPr>
          <w:rFonts w:ascii="Aptos" w:hAnsi="Aptos"/>
        </w:rPr>
      </w:pPr>
      <w:r>
        <w:rPr/>
        <w:t xml:space="preserve">Istotnym czynnikiem przyczyniającym się do degradacji zabytkowej zabudowy w granicach obszaru rewitalizacji jest ruch ciężkiego transportu w obrębie przecinającej miasto drogi wojewódzkiej. Przyczynia się to do osłabienia konstrukcji budynków w jej bezpośrednim sąsiedztwie oraz licznych uszkodzeń mechanicznych ich elewacji. Potęguje również ilość zanieczyszczeń atmosferycznych (wynikających także z kontynuacji stosowania pieców węglowych w obiektach historycznych) oraz skutkuje ich osadzaniem na elewacjach budynków.  </w:t>
      </w:r>
    </w:p>
    <w:p>
      <w:pPr>
        <w:pStyle w:val="Normal"/>
        <w:spacing w:before="0" w:after="160"/>
        <w:contextualSpacing/>
        <w:rPr>
          <w:rFonts w:ascii="Aptos" w:hAnsi="Aptos"/>
        </w:rPr>
      </w:pPr>
      <w:r>
        <w:rPr>
          <w:rFonts w:eastAsia="Times New Roman" w:cs="Aptos" w:cstheme="minorHAnsi"/>
        </w:rPr>
        <w:t xml:space="preserve">Stan techniczny zabudowy zabytkowej, w tym przyrynkowej, jest średni lub zły. Stałe niedobory finansowe, niewielka wiedza właścicieli obiektów zabytkowych dotycząca zasad i zakresu ich ochrony oraz dobrych praktyk budowlanych, a także niedostateczny nadzór administracji nad remontami obiektów o cechach historycznych, przyczyniają się do </w:t>
      </w:r>
      <w:r>
        <w:rPr>
          <w:rFonts w:cs="Aptos" w:cstheme="minorHAnsi"/>
        </w:rPr>
        <w:t xml:space="preserve">zmniejszenia możliwości zachowania wartości zasobów dziedzictwa kulturowego obszaru, jego postępującego ubożenia i degradacji elementów jego pierwotnej struktury. Zjawisko to potęguje </w:t>
      </w:r>
      <w:r>
        <w:rPr>
          <w:rFonts w:eastAsia="Times New Roman" w:cs="Aptos" w:cstheme="minorHAnsi"/>
        </w:rPr>
        <w:t xml:space="preserve">niedostateczna ochrona prawna obiektów ujętych w gminnej ewidencji zabytków oraz brak dofinansowania prac w obrębie przedmiotowych obiektów. W efekcie dochodzi do </w:t>
      </w:r>
      <w:r>
        <w:rPr>
          <w:rFonts w:eastAsia="Times New Roman" w:cs="Aptos" w:cstheme="minorHAnsi"/>
          <w:color w:val="000000"/>
        </w:rPr>
        <w:t xml:space="preserve">degradacji oraz silnego przekształcania budynków zabytkowych, co skutkuje niekiedy utratą ich pierwotnych wartości. Następuje to w głównej mierze poprzez </w:t>
      </w:r>
      <w:r>
        <w:rPr>
          <w:rFonts w:eastAsia="Times New Roman" w:cs="Aptos" w:cstheme="minorHAnsi"/>
        </w:rPr>
        <w:t>wymianę pierwotnych elementów obiektów zabytkowych (stolarka, pokrycie dachowe) lub ich przekształcenie (np. poprzez ocieplenie zewnętrzne elewacji), rozbudowy i przebudowy przekształcające formę i pierwotny charakter zabudowy.</w:t>
      </w:r>
    </w:p>
    <w:p>
      <w:pPr>
        <w:pStyle w:val="Fotografie"/>
        <w:rPr/>
      </w:pPr>
      <w:r>
        <w:rPr/>
      </w:r>
    </w:p>
    <w:p>
      <w:pPr>
        <w:pStyle w:val="Fotografie"/>
        <w:rPr>
          <w:rFonts w:ascii="Aptos" w:hAnsi="Aptos"/>
        </w:rPr>
      </w:pPr>
      <w:bookmarkStart w:id="27" w:name="_Toc216991224"/>
      <w:r>
        <w:rPr/>
        <w:t>Fotografia 8. Przykłady historycznych typów zabudowy w obrębie Nowego Miasteczka – pierzejowa zabudowa w obrębie rynku i jego sąsiedztwie.</w:t>
      </w:r>
      <w:bookmarkEnd w:id="27"/>
    </w:p>
    <w:p>
      <w:pPr>
        <w:pStyle w:val="Normal"/>
        <w:keepNext w:val="true"/>
        <w:rPr>
          <w:rFonts w:ascii="Aptos" w:hAnsi="Aptos"/>
        </w:rPr>
      </w:pPr>
      <w:r>
        <w:rPr/>
        <mc:AlternateContent>
          <mc:Choice Requires="wps">
            <w:drawing>
              <wp:inline distT="0" distB="0" distL="0" distR="0" wp14:anchorId="3D3E6AFA">
                <wp:extent cx="2797810" cy="2101215"/>
                <wp:effectExtent l="0" t="0" r="2540" b="0"/>
                <wp:docPr id="27" name="Obraz 49" descr="Obraz zawierający na wolnym powietrzu, niebo, budynek, droga&#10;&#10;Zawartość wygenerowana przez AI może być niepoprawna."/>
                <a:graphic xmlns:a="http://schemas.openxmlformats.org/drawingml/2006/main">
                  <a:graphicData uri="http://schemas.openxmlformats.org/drawingml/2006/picture">
                    <pic:pic xmlns:pic="http://schemas.openxmlformats.org/drawingml/2006/picture">
                      <pic:nvPicPr>
                        <pic:cNvPr id="28" name="Obraz 49" descr="Obraz zawierający na wolnym powietrzu, niebo, budynek, droga&#10;&#10;Zawartość wygenerowana przez AI może być niepoprawna."/>
                        <pic:cNvPicPr/>
                      </pic:nvPicPr>
                      <pic:blipFill>
                        <a:blip r:embed="rId33">
                          <a:extLst>
                            <a:ext uri="{BEBA8EAE-BF5A-486C-A8C5-ECC9F3942E4B}">
                              <a14:imgProps xmlns:a14="http://schemas.microsoft.com/office/drawing/2010/main">
                                <a14:imgLayer r:embed="rId34">
                                  <a14:imgEffect>
                                    <a14:brightnessContrast bright="20000"/>
                                  </a14:imgEffect>
                                </a14:imgLayer>
                              </a14:imgProps>
                            </a:ext>
                          </a:extLst>
                        </a:blip>
                        <a:stretch/>
                      </pic:blipFill>
                      <pic:spPr>
                        <a:xfrm>
                          <a:off x="0" y="0"/>
                          <a:ext cx="2797920" cy="2101320"/>
                        </a:xfrm>
                        <a:prstGeom prst="rect">
                          <a:avLst/>
                        </a:prstGeom>
                        <a:ln w="0">
                          <a:noFill/>
                        </a:ln>
                      </pic:spPr>
                    </pic:pic>
                  </a:graphicData>
                </a:graphic>
              </wp:inline>
            </w:drawing>
          </mc:Choice>
          <mc:Fallback>
            <w:pict>
              <v:shape id="shape_0" ID="Obraz 49" stroked="f" o:allowincell="f" style="position:absolute;margin-left:0pt;margin-top:-165.5pt;width:220.25pt;height:165.4pt;mso-wrap-style:none;v-text-anchor:middle;mso-position-vertical:top" wp14:anchorId="3D3E6AFA" type="_x0000_t75">
                <v:imagedata r:id="rId35" o:detectmouseclick="t"/>
                <v:stroke color="#3465a4" joinstyle="round" endcap="flat"/>
                <w10:wrap type="square"/>
              </v:shape>
            </w:pict>
          </mc:Fallback>
        </mc:AlternateContent>
      </w:r>
      <w:r>
        <w:rPr/>
        <w:t xml:space="preserve">   </w:t>
      </w:r>
      <w:r>
        <w:rPr/>
        <w:drawing>
          <wp:inline distT="0" distB="0" distL="0" distR="0">
            <wp:extent cx="2720975" cy="2119630"/>
            <wp:effectExtent l="0" t="0" r="0" b="0"/>
            <wp:docPr id="29" name="Obraz 48" descr="Obraz zawierający na wolnym powietrzu, budynek, niebo, okno&#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48" descr="Obraz zawierający na wolnym powietrzu, budynek, niebo, okno&#10;&#10;Zawartość wygenerowana przez AI może być niepoprawna." title=""/>
                    <pic:cNvPicPr>
                      <a:picLocks noChangeAspect="1" noChangeArrowheads="1"/>
                    </pic:cNvPicPr>
                  </pic:nvPicPr>
                  <pic:blipFill>
                    <a:blip r:embed="rId36"/>
                    <a:srcRect l="18735" t="0" r="0" b="15730"/>
                    <a:stretch>
                      <a:fillRect/>
                    </a:stretch>
                  </pic:blipFill>
                  <pic:spPr bwMode="auto">
                    <a:xfrm>
                      <a:off x="0" y="0"/>
                      <a:ext cx="2720975" cy="2119630"/>
                    </a:xfrm>
                    <a:prstGeom prst="rect">
                      <a:avLst/>
                    </a:prstGeom>
                    <a:noFill/>
                  </pic:spPr>
                </pic:pic>
              </a:graphicData>
            </a:graphic>
          </wp:inline>
        </w:drawing>
      </w:r>
    </w:p>
    <w:p>
      <w:pPr>
        <w:pStyle w:val="Normal"/>
        <w:rPr>
          <w:rFonts w:ascii="Aptos" w:hAnsi="Aptos"/>
        </w:rPr>
      </w:pPr>
      <w:r>
        <w:rPr/>
        <w:t xml:space="preserve">Obszar rewitalizacji w obrębie wsi Nieciecz, pierwszy raz wzmiankowanej w 1295 roku, składa się natomiast z rozproszonej zabudowy zagrodowej. Wieś charakteryzuje plan ulicowy (pierwotnie najprawdopodobniej owalnica z nawsiem). Dominantą przestrzenną układu jest wzniesiony na planie czworoboku zespół folwarczny, założony w połowie XIX w. i rozbudowany w kolejnym stuleciu. </w:t>
      </w:r>
    </w:p>
    <w:p>
      <w:pPr>
        <w:pStyle w:val="Fotografie"/>
        <w:rPr>
          <w:rFonts w:ascii="Aptos" w:hAnsi="Aptos"/>
        </w:rPr>
      </w:pPr>
      <w:bookmarkStart w:id="28" w:name="_Toc216991225"/>
      <w:r>
        <w:rPr/>
        <w:t>Fotografia 9. Krajobraz kulturowy wsi Nieciecz - zabudowa zagrodowa.</w:t>
      </w:r>
      <w:bookmarkEnd w:id="28"/>
    </w:p>
    <w:p>
      <w:pPr>
        <w:pStyle w:val="Normal"/>
        <w:keepNext w:val="true"/>
        <w:jc w:val="center"/>
        <w:rPr>
          <w:rFonts w:ascii="Aptos" w:hAnsi="Aptos"/>
        </w:rPr>
      </w:pPr>
      <w:r>
        <w:rPr/>
        <w:drawing>
          <wp:inline distT="0" distB="0" distL="0" distR="0">
            <wp:extent cx="4289425" cy="1962150"/>
            <wp:effectExtent l="0" t="0" r="0" b="0"/>
            <wp:docPr id="30" name="Obraz17" descr="Obraz zawierający na wolnym powietrzu, trawa, niebo, budynek&#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Obraz17" descr="Obraz zawierający na wolnym powietrzu, trawa, niebo, budynek&#10;&#10;Zawartość wygenerowana przez AI może być niepoprawna." title=""/>
                    <pic:cNvPicPr>
                      <a:picLocks noChangeAspect="1" noChangeArrowheads="1"/>
                    </pic:cNvPicPr>
                  </pic:nvPicPr>
                  <pic:blipFill>
                    <a:blip r:embed="rId37"/>
                    <a:stretch>
                      <a:fillRect/>
                    </a:stretch>
                  </pic:blipFill>
                  <pic:spPr bwMode="auto">
                    <a:xfrm>
                      <a:off x="0" y="0"/>
                      <a:ext cx="4289425" cy="1962150"/>
                    </a:xfrm>
                    <a:prstGeom prst="rect">
                      <a:avLst/>
                    </a:prstGeom>
                    <a:noFill/>
                  </pic:spPr>
                </pic:pic>
              </a:graphicData>
            </a:graphic>
          </wp:inline>
        </w:drawing>
      </w:r>
    </w:p>
    <w:p>
      <w:pPr>
        <w:pStyle w:val="Normal"/>
        <w:rPr>
          <w:rFonts w:ascii="Aptos" w:hAnsi="Aptos"/>
        </w:rPr>
      </w:pPr>
      <w:r>
        <w:rPr/>
        <w:t xml:space="preserve">Historyczna zabudowa wsi w części jest zwarta, a w części rozproszona, pochodzi głównie z drugiej połowy XIX wieku. Zagrody usytuowane są wzdłuż głównych ciągów komunikacyjnych. Wartości kulturowe wsi to pierwotna polska nazwa miejscowości, czytelny plan ulicowy oraz zabudowa mieszkalna i gospodarcza, a także zabudowa zespołu folwarcznego, którą objęto ewidencją konserwatorską. Prace remontowe i adaptacyjne przy tych obiektach należy uzgodnić z właściwym terenowo konserwatorem zabytków. Uzgodnienia wymagają także prace ziemne prowadzone na obszarach zewidencjonowanych stanowisk archeologicznych. </w:t>
      </w:r>
    </w:p>
    <w:p>
      <w:pPr>
        <w:pStyle w:val="Normal"/>
        <w:rPr>
          <w:rFonts w:ascii="Aptos" w:hAnsi="Aptos"/>
        </w:rPr>
      </w:pPr>
      <w:r>
        <w:rPr/>
        <w:t>Obecnie w centrum wsi, obejmującej najprawdopodobniej historyczne nawsie</w:t>
      </w:r>
      <w:r>
        <w:rPr>
          <w:rStyle w:val="FootnoteReference"/>
        </w:rPr>
        <w:footnoteReference w:id="8"/>
      </w:r>
      <w:r>
        <w:rPr/>
        <w:t xml:space="preserve">, brak jest elementów kontynuujących tradycję miejsca służącego społeczności wiejskiej, w postaci przestrzeni do rekreacji dla różnych grup wiekowych. Zabudowa mieszkalna jest w średnim stanie technicznym, częściowo przekształcona i pozbawiona pierwotnych elementów, takich jak stolarka okienna czy materiały elewacyjne. Zabudowa gospodarcza jest zaś w stanie technicznym złym lub katastrofalnym. </w:t>
      </w:r>
    </w:p>
    <w:p>
      <w:pPr>
        <w:pStyle w:val="Normal"/>
        <w:rPr>
          <w:rFonts w:ascii="Aptos" w:hAnsi="Aptos"/>
        </w:rPr>
      </w:pPr>
      <w:r>
        <w:rPr/>
        <w:t xml:space="preserve">W lesie w pobliżu wsi w pierwszej połowie XX wieku ewangelicy założyli cmentarz, na planie zbliżonym do prostokąta. W obrębie cmentarza nie zidentyfikowano cennych układów zieleni, zachowały się tam jednak fragmenty nagrobków wymagające przeprowadzenia dokładnej analizy ich wartości, a następnie uporządkowania, konserwacji i upamiętnienia. </w:t>
      </w:r>
    </w:p>
    <w:p>
      <w:pPr>
        <w:pStyle w:val="Normal"/>
        <w:rPr>
          <w:rFonts w:ascii="Aptos" w:hAnsi="Aptos"/>
        </w:rPr>
      </w:pPr>
      <w:r>
        <w:rPr/>
        <w:t>Zasadniczym problemem funkcjonalnym wsi Nieciecz i podstawowym zadaniem do realizacji na jej terenie jest brak kanalizacji miejskiej. Brak tu także lokalnego ośrodka (budynek z otoczeniem) mogącego sprzyjać integracji społecznej.</w:t>
      </w:r>
    </w:p>
    <w:p>
      <w:pPr>
        <w:pStyle w:val="Heading2"/>
        <w:rPr/>
      </w:pPr>
      <w:bookmarkStart w:id="29" w:name="_Toc216991158"/>
      <w:r>
        <w:rPr/>
        <w:t>2.4. Diagnoza zjawisk gospodarczych</w:t>
      </w:r>
      <w:bookmarkEnd w:id="29"/>
    </w:p>
    <w:p>
      <w:pPr>
        <w:pStyle w:val="Normal"/>
        <w:rPr/>
      </w:pPr>
      <w:r>
        <w:rPr/>
        <w:t>Na obszarze rewitalizacji w Gminie Nowe Miasteczko wyraźnie widoczne są potrzeby w zakresie podejmowania aktywnych działań w zakresie gospodarki. Jak wynika z danych Centralnej Ewidencji i Informacji o Działalności Gospodarczej, 35% podmiotów zarejestrowanych na terenie Gminy ma swoją siedzibę na obszarze rewitalizacji. Należy to uznać za istotny potencjał w kontekście oceny sytuacji społeczno-gospodarczej na obszarze rewitalizacji, jak również planowania przedsięwzięć rewitalizacyjnych w kolejnych latach. Z drugiej strony dane dotyczące liczby podmiotów gospodarczych wykreślonych z ewidencji w latach 2016-2024 mogą świadczyć o tym, że obszar rewitalizacji nie należy do najłatwiejszych miejsc do prowadzenia działalności. Spośród wykreślonych w tym okresie podmiotów aż 42% miało swoją siedzibę na obszarze rewitalizacji.</w:t>
      </w:r>
    </w:p>
    <w:p>
      <w:pPr>
        <w:pStyle w:val="Normal"/>
        <w:rPr/>
      </w:pPr>
      <w:r>
        <w:rPr/>
        <w:t xml:space="preserve">Rynek pracy na obszarze rewitalizacji w Nowym Miasteczku oraz w jego bezpośrednim sąsiedztwie ma zróżnicowany charakter. Dominują niewielkie punkty i zakłady handlowe i usługowe, ale nie brakuje również większych przedsiębiorstw, które zapewniają zatrudnienie tutejszym mieszkańcom. Przykładem może być największy pracodawca w Nowym Miasteczku – firma zajmująca się m.in. odnawialnymi źródłami energii, nawozami, transportem i spedycją czy skupem zbóż. Przedsiębiorstwo wspiera ponadto lokalny klub sportowy. Innym przykładem prowadzonej z sukcesami działalności jest mieszcząca się w bezpośrednim sąsiedztwie obszaru rewitalizacji firma będąca producentem dekoracji ściennych, znajdująca klientów w różnych krajach Europy. </w:t>
      </w:r>
    </w:p>
    <w:p>
      <w:pPr>
        <w:pStyle w:val="Normal"/>
        <w:rPr/>
      </w:pPr>
      <w:r>
        <w:rPr/>
        <w:t>Naturalnym miejscem predysponowanym do odgrywania roli gospodarczego centrum Nowego Miasteczko jest Rynek i jego okolice. W lokalach usytuowanych na parterze tutejszych kamienic swoje siedziby mają np. księgarnia, kwiaciarnia, piekarnia czy sklep spożywczy. Nie brakuje jednak pustych lokali, które od dłuższego czasu oferowane są na wynajem lub na sprzedaż. Z wywiadów grupowych przeprowadzonych z mieszkańcami Nowego Miasteczka wynika, że jeszcze kilkanaście lat wcześniej Rynek tętnił życiem, podczas gdy dziś bywa opustoszały. Jak wskazano w podrozdziale dotyczącym sfery społecznej, problemem zgłaszanym przez mieszkańców jest ruch wielkogabarytowych pojazdów przez Rynek. Wpływa to negatywnie na poczucie bezpieczeństwa w tym miejscu i zniechęca do częstych odwiedzin usytuowanych tu punktów usługowych czy handlowych. Jednocześnie z rozmów z przedsiębiorcami wynika, że sceptycznie odnoszą się oni do ograniczenia lub całkowitego wyprowadzenia ruchu samochodowego z Rynku, w obawie o zmniejszenie obrotów.</w:t>
      </w:r>
    </w:p>
    <w:p>
      <w:pPr>
        <w:pStyle w:val="Fotografie"/>
        <w:rPr/>
      </w:pPr>
      <w:bookmarkStart w:id="30" w:name="_Toc216991226"/>
      <w:r>
        <w:rPr/>
        <w:t>Fotografia 10. Lokal usługowy na sprzedaż oraz wejście do niedziałającej restauracji.</w:t>
      </w:r>
      <w:bookmarkEnd w:id="30"/>
    </w:p>
    <w:p>
      <w:pPr>
        <w:pStyle w:val="Normal"/>
        <w:jc w:val="center"/>
        <w:rPr/>
      </w:pPr>
      <w:r>
        <w:rPr/>
        <w:drawing>
          <wp:inline distT="0" distB="0" distL="0" distR="0">
            <wp:extent cx="2335530" cy="3117850"/>
            <wp:effectExtent l="0" t="0" r="0" b="0"/>
            <wp:docPr id="31" name="Obraz18" descr="Obraz zawierający okno, drzwi, budynek, na wolnym powietrzu&#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Obraz18" descr="Obraz zawierający okno, drzwi, budynek, na wolnym powietrzu&#10;&#10;Zawartość wygenerowana przez AI może być niepoprawna." title=""/>
                    <pic:cNvPicPr>
                      <a:picLocks noChangeAspect="1" noChangeArrowheads="1"/>
                    </pic:cNvPicPr>
                  </pic:nvPicPr>
                  <pic:blipFill>
                    <a:blip r:embed="rId38"/>
                    <a:stretch>
                      <a:fillRect/>
                    </a:stretch>
                  </pic:blipFill>
                  <pic:spPr bwMode="auto">
                    <a:xfrm>
                      <a:off x="0" y="0"/>
                      <a:ext cx="2335530" cy="3117850"/>
                    </a:xfrm>
                    <a:prstGeom prst="rect">
                      <a:avLst/>
                    </a:prstGeom>
                    <a:noFill/>
                  </pic:spPr>
                </pic:pic>
              </a:graphicData>
            </a:graphic>
          </wp:inline>
        </w:drawing>
      </w:r>
      <w:r>
        <w:rPr/>
        <w:t xml:space="preserve"> </w:t>
      </w:r>
      <w:r>
        <w:rPr/>
        <w:drawing>
          <wp:inline distT="0" distB="0" distL="0" distR="0">
            <wp:extent cx="2335530" cy="3114675"/>
            <wp:effectExtent l="0" t="0" r="0" b="0"/>
            <wp:docPr id="32" name="Obraz21" descr="Obraz zawierający budynek, drzwi, Drzwi do domu, na wolnym powietrzu&#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az21" descr="Obraz zawierający budynek, drzwi, Drzwi do domu, na wolnym powietrzu&#10;&#10;Zawartość wygenerowana przez AI może być niepoprawna." title=""/>
                    <pic:cNvPicPr>
                      <a:picLocks noChangeAspect="1" noChangeArrowheads="1"/>
                    </pic:cNvPicPr>
                  </pic:nvPicPr>
                  <pic:blipFill>
                    <a:blip r:embed="rId39"/>
                    <a:stretch>
                      <a:fillRect/>
                    </a:stretch>
                  </pic:blipFill>
                  <pic:spPr bwMode="auto">
                    <a:xfrm>
                      <a:off x="0" y="0"/>
                      <a:ext cx="2335530" cy="3114675"/>
                    </a:xfrm>
                    <a:prstGeom prst="rect">
                      <a:avLst/>
                    </a:prstGeom>
                    <a:noFill/>
                  </pic:spPr>
                </pic:pic>
              </a:graphicData>
            </a:graphic>
          </wp:inline>
        </w:drawing>
      </w:r>
    </w:p>
    <w:p>
      <w:pPr>
        <w:pStyle w:val="Normal"/>
        <w:rPr/>
      </w:pPr>
      <w:r>
        <w:rPr/>
        <w:t>O znaczeniu Rynku dla Nowego Miasteczka świadczyć mogą wyniki ankiety przeprowadzonej wśród mieszkańców. Na pytanie „Jak często załatwia Pani/Pan sprawy lub korzysta Pani/Pan z usług położonych przy Rynku w Nowym Miasteczku?” jedynie co piąty ankietowany przyznaje, że w ogóle nie korzysta z takich usług, 13% bywa tu w tym celu codziennie, 23% – kilka razy w tygodniu, a 20% – kilka razy w miesiącu. Można zatem zakładać, że osoby zamierzające podjąć działalność gospodarczą w Rynku, mogą liczyć na dość szeroką bazę potencjalnych klientów.</w:t>
      </w:r>
    </w:p>
    <w:p>
      <w:pPr>
        <w:pStyle w:val="Wykresy2"/>
        <w:rPr/>
      </w:pPr>
      <w:bookmarkStart w:id="31" w:name="_Toc216991215"/>
      <w:r>
        <w:rPr/>
        <w:t>Wykres 3. Częstotliwość korzystania z Rynku przez mieszkańców</w:t>
      </w:r>
      <w:bookmarkEnd w:id="31"/>
    </w:p>
    <w:p>
      <w:pPr>
        <w:pStyle w:val="Normal"/>
        <w:rPr/>
      </w:pPr>
      <w:r>
        <w:rPr/>
        <w:drawing>
          <wp:inline distT="0" distB="0" distL="0" distR="0">
            <wp:extent cx="5607050" cy="2726690"/>
            <wp:effectExtent l="0" t="0" r="0" b="0"/>
            <wp:docPr id="33" name="Obiekt3" descr="" title=""/>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pPr>
        <w:pStyle w:val="Normal"/>
        <w:rPr/>
      </w:pPr>
      <w:bookmarkStart w:id="32" w:name="_Hlk202532924"/>
      <w:r>
        <w:rPr/>
        <w:t>Należy przy tym pamiętać, że zwykle niewielkie przedsiębiorstwa prowadzące działalność na obszarze rewitalizacji mierzą się na co dzień z wyzwaniami, trendami i szokami o znaczeniu globalnym. Dotyczą one m.in. przenoszenia handlu do Internetu, dynamicznego wzrostu znaczenia mediów społecznościowych i serwisów streamingowych czy też rosnących kosztów energii. Oznacza to konieczność podejmowania działań wspierających lokalny biznes oraz osoby chętne do prowadzenia działalności gospodarczej w zakresie korzystania z mediów społecznościowych, stron www oraz nowych trendów promocyjnych i odnoszących się do sprzedaży towarów i usług.</w:t>
      </w:r>
      <w:bookmarkEnd w:id="32"/>
    </w:p>
    <w:p>
      <w:pPr>
        <w:pStyle w:val="Normal"/>
        <w:rPr/>
      </w:pPr>
      <w:r>
        <w:rPr/>
        <w:t>Sferą wymagającą współpracy pomiędzy przedsiębiorcami i właścicielami nieruchomości a urzędnikami jest dążenie do estetyzacji przestrzeni publicznej. Środkiem do tego mogą być działania (podejmowanie również z zewnętrznymi partnerami) na rzecz porządkowania przestrzeni publicznej w okolicy lokali oraz estetyzacji szyldów i witryn sklepowych. Obecnie panuje w tej materii typowy dla polskich miast chaos: poszczególni przedsiębiorcy, chcąc wyróżnić się w oczach mieszkańców, stosują niekiedy identyfikację wizualną nieprzystającą do historycznego charakteru miejsca, jakim jest Rynek.</w:t>
      </w:r>
    </w:p>
    <w:p>
      <w:pPr>
        <w:pStyle w:val="Normal"/>
        <w:rPr/>
      </w:pPr>
      <w:r>
        <w:rPr/>
        <w:t>Jak wskazano w jednym z poprzednich podrozdziałów, niezagospodarowany segment lokalnej gospodarki stanowi gastronomia. Mieszkańcy w wywiadach i ankietach skarżą się na brak jakiegokolwiek miejsca o takim charakterze: restauracji, kawiarni, baru czy stołówki. Deklarowane wysokie zapotrzebowanie mieszkańców w tym zakresie nie musi jednak oznaczać, że utworzenie i prowadzenie punktu małej gastronomii w Rynku lub jego sąsiedztwie będzie dochodową działalnością. Świadczyć może o tym przykład restauracji Bajka, która po latach działalności została zamknięta, a pozostały po niej lokal jest wystawiony na sprzedaż. Mieszkańcy przywołują również przykład zamkniętego niedawno punktu z kebabem. Oczekiwania mieszkańców oraz trudności napotykane w prowadzeniu działalności gospodarczej w obszarze rewitalizacji stanowią dla władz Gminy wyzwanie. Rozwiązaniami, które można rozważyć, jest np. powierzenie prowadzenia punktu gastronomicznego stowarzyszeniu lub spółdzielni socjalnej, bądź też stworzenie preferencyjnych warunków prowadzenia działalności dla chętnego inwestora.</w:t>
      </w:r>
    </w:p>
    <w:p>
      <w:pPr>
        <w:pStyle w:val="Normal"/>
        <w:rPr/>
      </w:pPr>
      <w:r>
        <w:rPr/>
        <w:t>W odróżnieniu od zdania mieszkańców na temat gastronomii, dostęp do sklepów i punktów usługowych na obszarze rewitalizacji oceniany jest raczej pozytywnie: 37% ankietowanych określa go jako dobry, a 23% jako bardzo dobry. Jednocześnie w pytaniach otwartych ankietowani wskazywali, że w Nowym Miasteczku brakuje sklepów o konkretnym charakterze, które dostępne są w okolicznych miejscowościach: „Myślę, że potrzebujemy sklepów, takich jak ma sąsiad, Bytom Odrzański, żeby zatrzymać ludzi u nas, nie musieliby jeździć do Nowej Soli czy właśnie Bytomia na zakupy”, „jeśli jest taka możliwość, to żeby mógł powstać Rossmann albo jakiś prywatny sklep drogeryjny”.</w:t>
      </w:r>
    </w:p>
    <w:p>
      <w:pPr>
        <w:pStyle w:val="Normal"/>
        <w:rPr/>
      </w:pPr>
      <w:r>
        <w:rPr/>
        <w:t>Niewątpliwym gospodarczym potencjałem obszaru rewitalizacji jest bliskość drogi szybkiego ruchu S3, łączącej województwa dolnośląskie, lubuskie i zachodniopomorskie. Do Nowego Miasteczka prowadzą aż dwa zjazdy z tej dobrze utrzymanej i chętnie uczęszczanej drogi. Takie położenie może stanowić zachętę dla potencjalnych inwestorów. Mieszkańcy podczas wywiadów wskazywali jednak na problem dotyczący nieprzygotowanych terenów inwestycyjnych.</w:t>
      </w:r>
    </w:p>
    <w:p>
      <w:pPr>
        <w:pStyle w:val="Normal"/>
        <w:rPr/>
      </w:pPr>
      <w:r>
        <w:rPr/>
        <w:t xml:space="preserve">Szczególnym miejsce w obrębie obszaru rewitalizacji jest niezagospodarowany i niszczejący teren po dawnych zakładach meblowych ZEFAM. Jest to nieruchomość znajdująca się w centrum Nowego Miasteczka, położona przy drodze krajowej nr 333, zaś jej odległość od zjazdów z drogi ekspresowej S3 wynosi około 2 km i około 4 km. Działka o łącznym obszarze przekraczającym 2 hektary jest uzbrojona – posiada dostęp do sieci wodno-kanalizacyjnej i prądu. Na jej terenie znajduje się szereg budynków: biurowiec, hala produkcyjna, sklep, budynki przemysłowe i magazyny. Ze względu na skomplikowaną sytuacją własnościową tego terenu, w trakcie opracowywania </w:t>
      </w:r>
      <w:r>
        <w:rPr>
          <w:i/>
          <w:iCs/>
        </w:rPr>
        <w:t>Programu</w:t>
      </w:r>
      <w:r>
        <w:rPr/>
        <w:t xml:space="preserve"> (druga połowa 2025 roku) trwała licytacja komornicza użytkowania wieczystego przedmiotowej nieruchomości. W zgodnej ocenie mieszkańców umiejętne zagospodarowanie terenu ZEFAM może stanowić koło zamachowe rozwoju Nowego Miasteczka. Wśród proponowanych rozwiązań na wykorzystanie tego miejsca są np. przestrzeń mieszkaniowo-usługowa w stylu industrialnym, tereny inwestycyjne pod działalność, która nie będzie uciążliwa dla okolicznych mieszkańców.</w:t>
      </w:r>
    </w:p>
    <w:p>
      <w:pPr>
        <w:pStyle w:val="Fotografie"/>
        <w:rPr/>
      </w:pPr>
      <w:bookmarkStart w:id="33" w:name="_Toc216991227"/>
      <w:r>
        <w:rPr/>
        <w:t>Fotografia 11. Teren dawnych zakładów meblowych ZEFAM</w:t>
      </w:r>
      <w:bookmarkEnd w:id="33"/>
    </w:p>
    <w:p>
      <w:pPr>
        <w:pStyle w:val="Normal"/>
        <w:jc w:val="center"/>
        <w:rPr/>
      </w:pPr>
      <w:r>
        <w:rPr/>
        <w:drawing>
          <wp:inline distT="0" distB="0" distL="0" distR="0">
            <wp:extent cx="4548505" cy="3413125"/>
            <wp:effectExtent l="0" t="0" r="0" b="0"/>
            <wp:docPr id="34" name="Obraz22" descr="Obraz zawierający na wolnym powietrzu, drzewo, niebo, budynek&#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az22" descr="Obraz zawierający na wolnym powietrzu, drzewo, niebo, budynek&#10;&#10;Zawartość wygenerowana przez AI może być niepoprawna." title=""/>
                    <pic:cNvPicPr>
                      <a:picLocks noChangeAspect="1" noChangeArrowheads="1"/>
                    </pic:cNvPicPr>
                  </pic:nvPicPr>
                  <pic:blipFill>
                    <a:blip r:embed="rId41"/>
                    <a:stretch>
                      <a:fillRect/>
                    </a:stretch>
                  </pic:blipFill>
                  <pic:spPr bwMode="auto">
                    <a:xfrm>
                      <a:off x="0" y="0"/>
                      <a:ext cx="4548505" cy="3413125"/>
                    </a:xfrm>
                    <a:prstGeom prst="rect">
                      <a:avLst/>
                    </a:prstGeom>
                    <a:noFill/>
                  </pic:spPr>
                </pic:pic>
              </a:graphicData>
            </a:graphic>
          </wp:inline>
        </w:drawing>
      </w:r>
    </w:p>
    <w:p>
      <w:pPr>
        <w:pStyle w:val="Normal"/>
        <w:rPr/>
      </w:pPr>
      <w:r>
        <w:rPr/>
        <w:t xml:space="preserve">Godne rozważenia są również działania zmierzające do uczynienia z Nowego Miasteczka marki turystycznej przy wykorzystaniu licznych lokalnych potencjałów: położenia blisko drogi ekspresowej S3, bogatej historii i unikalnej tkanki zabytkowej, wielu terenów o wysokich walorach przyrodniczych. Obecnie Nowe Miasteczko jest chętnie odwiedzana przez rowerzystów z innych gmin, chociażby przy okazji akcji „Paszport rowerzysty”.  </w:t>
      </w:r>
    </w:p>
    <w:p>
      <w:pPr>
        <w:pStyle w:val="Fotografie"/>
        <w:rPr/>
      </w:pPr>
      <w:r>
        <w:rPr/>
      </w:r>
    </w:p>
    <w:p>
      <w:pPr>
        <w:pStyle w:val="Fotografie"/>
        <w:rPr/>
      </w:pPr>
      <w:r>
        <w:rPr/>
      </w:r>
    </w:p>
    <w:p>
      <w:pPr>
        <w:pStyle w:val="Fotografie"/>
        <w:rPr/>
      </w:pPr>
      <w:r>
        <w:rPr/>
      </w:r>
    </w:p>
    <w:p>
      <w:pPr>
        <w:pStyle w:val="Fotografie"/>
        <w:rPr/>
      </w:pPr>
      <w:r>
        <w:rPr/>
      </w:r>
    </w:p>
    <w:p>
      <w:pPr>
        <w:pStyle w:val="Fotografie"/>
        <w:rPr/>
      </w:pPr>
      <w:r>
        <w:rPr/>
      </w:r>
    </w:p>
    <w:p>
      <w:pPr>
        <w:pStyle w:val="Fotografie"/>
        <w:rPr/>
      </w:pPr>
      <w:r>
        <w:rPr/>
      </w:r>
    </w:p>
    <w:p>
      <w:pPr>
        <w:pStyle w:val="Fotografie"/>
        <w:rPr/>
      </w:pPr>
      <w:r>
        <w:rPr/>
      </w:r>
    </w:p>
    <w:p>
      <w:pPr>
        <w:pStyle w:val="Fotografie"/>
        <w:rPr/>
      </w:pPr>
      <w:r>
        <w:rPr/>
      </w:r>
    </w:p>
    <w:p>
      <w:pPr>
        <w:pStyle w:val="Fotografie"/>
        <w:rPr/>
      </w:pPr>
      <w:r>
        <w:rPr/>
      </w:r>
    </w:p>
    <w:p>
      <w:pPr>
        <w:pStyle w:val="Fotografie"/>
        <w:rPr/>
      </w:pPr>
      <w:bookmarkStart w:id="34" w:name="_Toc216991228"/>
      <w:r>
        <w:rPr/>
        <w:t>Fotografia 12. Akcja „Paszport Rowerzysty” na Rynku w Nowym Miasteczku w 2025 roku</w:t>
      </w:r>
      <w:bookmarkEnd w:id="34"/>
    </w:p>
    <w:p>
      <w:pPr>
        <w:pStyle w:val="Normal"/>
        <w:jc w:val="center"/>
        <w:rPr/>
      </w:pPr>
      <w:r>
        <w:rPr/>
        <w:drawing>
          <wp:inline distT="0" distB="0" distL="0" distR="0">
            <wp:extent cx="3449320" cy="2586990"/>
            <wp:effectExtent l="0" t="0" r="0" b="0"/>
            <wp:docPr id="35" name="Obraz23" descr="Obraz zawierający na wolnym powietrzu, ubrania, osoba, budynek&#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az23" descr="Obraz zawierający na wolnym powietrzu, ubrania, osoba, budynek&#10;&#10;Zawartość wygenerowana przez AI może być niepoprawna." title=""/>
                    <pic:cNvPicPr>
                      <a:picLocks noChangeAspect="1" noChangeArrowheads="1"/>
                    </pic:cNvPicPr>
                  </pic:nvPicPr>
                  <pic:blipFill>
                    <a:blip r:embed="rId42"/>
                    <a:stretch>
                      <a:fillRect/>
                    </a:stretch>
                  </pic:blipFill>
                  <pic:spPr bwMode="auto">
                    <a:xfrm>
                      <a:off x="0" y="0"/>
                      <a:ext cx="3449320" cy="2586990"/>
                    </a:xfrm>
                    <a:prstGeom prst="rect">
                      <a:avLst/>
                    </a:prstGeom>
                    <a:noFill/>
                  </pic:spPr>
                </pic:pic>
              </a:graphicData>
            </a:graphic>
          </wp:inline>
        </w:drawing>
      </w:r>
    </w:p>
    <w:p>
      <w:pPr>
        <w:pStyle w:val="Normal"/>
        <w:rPr/>
      </w:pPr>
      <w:r>
        <w:rPr/>
        <w:t>Obszar rewitalizacji w Niecieczy ze względu na wiejski charakter odróżnia się charakterystyką od obszaru rewitalizacji w Nowym Miasteczku. Prowadzone są tu działalności o charakterze rolniczym, jednak nie brakuje również takich, które podlegają wpisowi do Centralnej Ewidencji i Informacji o Działalności Gospodarczej. W skali miejscowości bezrobocie nie wydaje się dużym problemem, dotyczy on jedynie 3 osób. Niezaspokojoną potrzebą mieszkańców jest sklep, który oferowałby podstawowe artykuły, tak aby nie było konieczne częste przemieszczanie się na zakupy do innych części gminy.</w:t>
      </w:r>
    </w:p>
    <w:p>
      <w:pPr>
        <w:pStyle w:val="Normal"/>
        <w:rPr/>
      </w:pPr>
      <w:r>
        <w:rPr/>
        <w:t xml:space="preserve">Niezależnie od wskazanych wyżej problemów i potrzeb, dużym potencjałem w sferze gospodarczej jest zaangażowanie lokalnych przedsiębiorców w sprawy Nowego Miasteczka. Świadczy o tym chociażby wysoka frekwencja i ożywiona dyskusja na spotkaniu dla przedsiębiorców podczas prac nad </w:t>
      </w:r>
      <w:r>
        <w:rPr>
          <w:i/>
          <w:iCs/>
        </w:rPr>
        <w:t>Programem</w:t>
      </w:r>
      <w:r>
        <w:rPr/>
        <w:t>.</w:t>
      </w:r>
    </w:p>
    <w:p>
      <w:pPr>
        <w:pStyle w:val="Fotografie"/>
        <w:rPr/>
      </w:pPr>
      <w:r>
        <w:rPr/>
      </w:r>
    </w:p>
    <w:p>
      <w:pPr>
        <w:pStyle w:val="Fotografie"/>
        <w:rPr/>
      </w:pPr>
      <w:r>
        <w:rPr/>
      </w:r>
    </w:p>
    <w:p>
      <w:pPr>
        <w:pStyle w:val="Fotografie"/>
        <w:rPr/>
      </w:pPr>
      <w:r>
        <w:rPr/>
      </w:r>
    </w:p>
    <w:p>
      <w:pPr>
        <w:pStyle w:val="Fotografie"/>
        <w:rPr/>
      </w:pPr>
      <w:r>
        <w:rPr/>
      </w:r>
    </w:p>
    <w:p>
      <w:pPr>
        <w:pStyle w:val="Fotografie"/>
        <w:rPr/>
      </w:pPr>
      <w:r>
        <w:rPr/>
      </w:r>
    </w:p>
    <w:p>
      <w:pPr>
        <w:pStyle w:val="Fotografie"/>
        <w:rPr/>
      </w:pPr>
      <w:r>
        <w:rPr/>
      </w:r>
    </w:p>
    <w:p>
      <w:pPr>
        <w:pStyle w:val="Fotografie"/>
        <w:rPr/>
      </w:pPr>
      <w:r>
        <w:rPr/>
      </w:r>
    </w:p>
    <w:p>
      <w:pPr>
        <w:pStyle w:val="Fotografie"/>
        <w:rPr/>
      </w:pPr>
      <w:r>
        <w:rPr/>
      </w:r>
    </w:p>
    <w:p>
      <w:pPr>
        <w:pStyle w:val="Fotografie"/>
        <w:rPr/>
      </w:pPr>
      <w:r>
        <w:rPr/>
      </w:r>
    </w:p>
    <w:p>
      <w:pPr>
        <w:pStyle w:val="Fotografie"/>
        <w:rPr/>
      </w:pPr>
      <w:bookmarkStart w:id="35" w:name="_Toc216991229"/>
      <w:r>
        <w:rPr/>
        <w:t>Fotografia 13. Spotkanie z przedsiębiorcami podczas prac nad GPR.</w:t>
      </w:r>
      <w:bookmarkEnd w:id="35"/>
    </w:p>
    <w:p>
      <w:pPr>
        <w:pStyle w:val="Normal"/>
        <w:jc w:val="center"/>
        <w:rPr/>
      </w:pPr>
      <w:r>
        <w:rPr/>
        <w:drawing>
          <wp:inline distT="0" distB="0" distL="0" distR="0">
            <wp:extent cx="2254250" cy="2839085"/>
            <wp:effectExtent l="0" t="0" r="0" b="0"/>
            <wp:docPr id="36" name="Obraz24" descr="Obraz zawierający ubrania, Ludzka twarz, osoba, kobieta&#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Obraz24" descr="Obraz zawierający ubrania, Ludzka twarz, osoba, kobieta&#10;&#10;Zawartość wygenerowana przez AI może być niepoprawna." title=""/>
                    <pic:cNvPicPr>
                      <a:picLocks noChangeAspect="1" noChangeArrowheads="1"/>
                    </pic:cNvPicPr>
                  </pic:nvPicPr>
                  <pic:blipFill>
                    <a:blip r:embed="rId43"/>
                    <a:stretch>
                      <a:fillRect/>
                    </a:stretch>
                  </pic:blipFill>
                  <pic:spPr bwMode="auto">
                    <a:xfrm>
                      <a:off x="0" y="0"/>
                      <a:ext cx="2254250" cy="2839085"/>
                    </a:xfrm>
                    <a:prstGeom prst="rect">
                      <a:avLst/>
                    </a:prstGeom>
                    <a:noFill/>
                  </pic:spPr>
                </pic:pic>
              </a:graphicData>
            </a:graphic>
          </wp:inline>
        </w:drawing>
      </w:r>
    </w:p>
    <w:p>
      <w:pPr>
        <w:pStyle w:val="Normal"/>
        <w:rPr/>
      </w:pPr>
      <w:r>
        <w:rPr/>
        <w:t>Należy dodać, iż w przeprowadzonej ankiecie „wsparcie rozwoju lokalnej przedsiębiorczości” pojawiało się wśród kierunków działań rewitalizacyjnych postrzeganych jako najbardziej wskazane do realizacji. Było stosunkowo wysoko cenione, gdyż jako jeden z priorytetów rewitalizacji zostało wymienione na 6. miejscu wśród 17 kierunków działań w Nowym Miasteczku (zadeklarowało to 101 osób, czyli 68,7% wszystkich), natomiast w Niecieczy dopiero na 14. miejscu wśród 17 kierunków działań (zadeklarowały to 22 osoby, czyli 15% wszystkich).</w:t>
      </w:r>
    </w:p>
    <w:p>
      <w:pPr>
        <w:pStyle w:val="Heading2"/>
        <w:rPr/>
      </w:pPr>
      <w:bookmarkStart w:id="36" w:name="_Toc216991159"/>
      <w:r>
        <w:rPr/>
        <w:t>2.5. Diagnoza zjawisk środowiskowych</w:t>
      </w:r>
      <w:bookmarkEnd w:id="36"/>
    </w:p>
    <w:p>
      <w:pPr>
        <w:pStyle w:val="Normal"/>
        <w:rPr/>
      </w:pPr>
      <w:bookmarkStart w:id="37" w:name="_Hlk215345438"/>
      <w:r>
        <w:rPr/>
        <w:t xml:space="preserve">Za bardzo ważny potencjał przy planowaniu i realizacji przedsięwzięć rewitalizacyjnych należy uznać zasoby </w:t>
      </w:r>
      <w:bookmarkStart w:id="38" w:name="_Hlk204008278"/>
      <w:r>
        <w:rPr/>
        <w:t xml:space="preserve">i walory przyrodnicze </w:t>
      </w:r>
      <w:bookmarkEnd w:id="38"/>
      <w:r>
        <w:rPr/>
        <w:t xml:space="preserve">zlokalizowane na obszarze rewitalizacji lub w jego sąsiedztwie (wyjątkowa dostępność pięknych lasów, tras rekreacyjnych, Stawy). Kwestię tę często akcentowali ankietowani oraz uczestnicy wydarzeń konsultacyjnych w ramach prac nad pogłębioną diagnozą obszaru rewitalizacji. </w:t>
      </w:r>
    </w:p>
    <w:p>
      <w:pPr>
        <w:pStyle w:val="Normal"/>
        <w:rPr>
          <w:iCs/>
        </w:rPr>
      </w:pPr>
      <w:r>
        <w:rPr>
          <w:iCs/>
        </w:rPr>
        <w:t xml:space="preserve">O stanie środowiska w mieście i gminie z perspektywy mieszkańców świadczy szczególnie – oprócz czystości środowiska (powietrza, wody, gleby) – dostępność oraz jakość terenów zieleni. W zakresie ankietowego pytania o dostępność terenów rekreacji, takich jak parki i skwery, 36% respondentów oceniło ją dobrze, niemal 20% bardzo dobrze, a ponadto 25% w sposób neutralny („ani dobrze, ani źle”). Dość nieliczna grupa oceniła, że dostępność terenów zieleni w gminie Nowe Miasteczko jest zła (11,5%) bądź bardzo zła (6%). Na pytanie „co najbardziej ceni sobie Pani/Pan w miejscu swojego zamieszkania?” liczne osoby odpowiadały: cisza i spokój, piękna natura, duża liczba drzew i zieleni, krajobraz, kontakt z przyrodą, bliskość lasu, „lasy, które dodają relaksu”, stawy (w tym „zrewitalizowane stawy </w:t>
      </w:r>
      <w:r>
        <w:rPr/>
        <w:t>–</w:t>
      </w:r>
      <w:r>
        <w:rPr>
          <w:iCs/>
        </w:rPr>
        <w:t xml:space="preserve"> coś pięknego i za każdym razem opowiadam o tym z zachwytem”), a także „łany obsianych pól na wiosnę” oraz „duża różnorodność dzikich zwierząt, jak np.: sarny, zające, jeże, borsuki, wiele gatunków ptaków”. Można zatem uznać, że atrakcyjne otoczenie przyrodnicze jest jednym z walorów życia w Gminie Nowe Miasteczko.</w:t>
      </w:r>
      <w:bookmarkEnd w:id="37"/>
    </w:p>
    <w:p>
      <w:pPr>
        <w:pStyle w:val="Normal"/>
        <w:rPr>
          <w:iCs/>
        </w:rPr>
      </w:pPr>
      <w:r>
        <w:rPr>
          <w:iCs/>
        </w:rPr>
        <w:t xml:space="preserve">Niektóre problemy obszaru rewitalizacji Nowe Miasteczko wskazywane w ankietach dotyczyły jakości terenów zieleni, w tym kilka osób zauważało: „niezadbane parki”, „zniszczony park”, problem zorganizowania terenów zielonych czy też konkretnie „zbyt mocne, coroczne przycinanie drzew wzdłuż ul. Kościuszki”. Wśród terenów zielonych wymagających modernizacji wskazywano Park XXX-lecia, teren lasu przy PGR, las za szkołą (tzw. lasek szkolny), park przy ul. Kościuszki, park przy ul. Paderewskiego i skwer przy ul. Garncarskiej, skwer przy ul. Kościelnej, „wszystkie parki kieszonkowe”. Są to zwykle niewielkie skwery i zieleńce bądź też tereny leśne na obrzeżach miasta. W miejscowości Nowe Miasteczko, jak również w Niecieczy, brak bowiem większych założeń parkowych (są w kilku innych miejscowościach gminy). Z innych problemów nawiązujących do stanu środowiska Nowego Miasteczka można jeszcze wskazać kilkukrotnie zauważane w ankietach braki koszy na śmieci oraz stan czystości ulic. </w:t>
      </w:r>
    </w:p>
    <w:p>
      <w:pPr>
        <w:pStyle w:val="Normal"/>
        <w:rPr>
          <w:iCs/>
        </w:rPr>
      </w:pPr>
      <w:r>
        <w:rPr>
          <w:iCs/>
        </w:rPr>
        <w:t>Miejscem na obszarze rewitalizacji w Nowym Miasteczku, w którym w szczególny sposób kumulują się problemy związane ze sferą środowiskową, jest Rynek i jego najbliższe otoczenie. Jednym ze źródeł sytuacji kryzysowej jest odbywający się nieustannie ruch ciężkich samochodów przez Rynek, co powoduje zanieczyszczenie hałasem i spalinami. Zgubny wpływ na lokalne środowisko ma również liczba źródeł ciepła na paliwo stałe, takich jak kocioł, piec, trzon kuchenny czy kominek. Łącznie w Gminie Nowe Miasteczko na koniec 2024 r. było 1250 takich źródeł ciepła, spośród których 246, czyli 19%, znajdowało się na obszarze rewitalizacji (191 w Nowym Miasteczku i 55 w Niecieczy). W efekcie w sezonie grzewczym mieszkańcy muszą borykać się z powietrzem o bardzo niskiej jakości. Podczas wywiadów pogłębionych osoby żyjące na obszarze rewitalizacji formułowały wypowiedzi w rodzaju: „powietrze jest tragiczne” albo „po godzinie 16 nie wychodzę z domu, bo się duszę”.</w:t>
      </w:r>
    </w:p>
    <w:p>
      <w:pPr>
        <w:pStyle w:val="Fotografie"/>
        <w:rPr/>
      </w:pPr>
      <w:r>
        <w:rPr/>
      </w:r>
    </w:p>
    <w:p>
      <w:pPr>
        <w:pStyle w:val="Fotografie"/>
        <w:rPr/>
      </w:pPr>
      <w:r>
        <w:rPr/>
      </w:r>
    </w:p>
    <w:p>
      <w:pPr>
        <w:pStyle w:val="Fotografie"/>
        <w:rPr/>
      </w:pPr>
      <w:r>
        <w:rPr/>
      </w:r>
    </w:p>
    <w:p>
      <w:pPr>
        <w:pStyle w:val="Fotografie"/>
        <w:rPr/>
      </w:pPr>
      <w:r>
        <w:rPr/>
      </w:r>
    </w:p>
    <w:p>
      <w:pPr>
        <w:pStyle w:val="Fotografie"/>
        <w:rPr/>
      </w:pPr>
      <w:r>
        <w:rPr/>
      </w:r>
    </w:p>
    <w:p>
      <w:pPr>
        <w:pStyle w:val="Fotografie"/>
        <w:rPr/>
      </w:pPr>
      <w:bookmarkStart w:id="39" w:name="_Toc216991230"/>
      <w:r>
        <w:rPr/>
        <w:t>Fotografia 14. Dym z komina na Rynku w Nowym Miasteczku</w:t>
      </w:r>
      <w:bookmarkEnd w:id="39"/>
    </w:p>
    <w:p>
      <w:pPr>
        <w:pStyle w:val="Normal"/>
        <w:jc w:val="center"/>
        <w:rPr>
          <w:iCs/>
        </w:rPr>
      </w:pPr>
      <w:r>
        <w:rPr/>
        <w:drawing>
          <wp:inline distT="0" distB="0" distL="0" distR="0">
            <wp:extent cx="5124450" cy="3845560"/>
            <wp:effectExtent l="0" t="0" r="0" b="0"/>
            <wp:docPr id="37" name="Obraz25" descr="Obraz zawierający na wolnym powietrzu, niebo, budynek, chmura&#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Obraz25" descr="Obraz zawierający na wolnym powietrzu, niebo, budynek, chmura&#10;&#10;Zawartość wygenerowana przez AI może być niepoprawna." title=""/>
                    <pic:cNvPicPr>
                      <a:picLocks noChangeAspect="1" noChangeArrowheads="1"/>
                    </pic:cNvPicPr>
                  </pic:nvPicPr>
                  <pic:blipFill>
                    <a:blip r:embed="rId44"/>
                    <a:stretch>
                      <a:fillRect/>
                    </a:stretch>
                  </pic:blipFill>
                  <pic:spPr bwMode="auto">
                    <a:xfrm>
                      <a:off x="0" y="0"/>
                      <a:ext cx="5124450" cy="3845560"/>
                    </a:xfrm>
                    <a:prstGeom prst="rect">
                      <a:avLst/>
                    </a:prstGeom>
                    <a:noFill/>
                  </pic:spPr>
                </pic:pic>
              </a:graphicData>
            </a:graphic>
          </wp:inline>
        </w:drawing>
      </w:r>
    </w:p>
    <w:p>
      <w:pPr>
        <w:pStyle w:val="Normal"/>
        <w:rPr>
          <w:iCs/>
        </w:rPr>
      </w:pPr>
      <w:r>
        <w:rPr>
          <w:iCs/>
        </w:rPr>
        <w:t xml:space="preserve">Dla obszaru rewitalizacji w Niecieczy ankietowani wskazywali na nieco inne kwestie środowiskowe, a wśród nich: brak skweru, brak kanalizacji (wielokrotnie wskazywany), nierozwiązany dobrze odpływ wód, zanieczyszczenie powietrza i smród, w tym np. opinia, że „w zimie problematyczne jest palenie w piecach i dym niosący się po prostu wszędzie”. </w:t>
      </w:r>
    </w:p>
    <w:p>
      <w:pPr>
        <w:pStyle w:val="Normal"/>
        <w:rPr>
          <w:iCs/>
        </w:rPr>
      </w:pPr>
      <w:r>
        <w:rPr>
          <w:iCs/>
        </w:rPr>
        <w:t>Podczas wywiadów pogłębionych kilkukrotnie była również poruszana kwestia dzikich wysypisk śmieci. Takie punkty wskazywano zarówno na obszarze rewitalizacji w Niecieczy, jak również na obszarze rewitalizacji w Nowym Miasteczku (łąka w okolicy ulic Przemysłowej i Dworcowej). Ponadto, jak zauważają mieszkańcy, część osób nie potrafi przyswoić zasad związanych z prawidłową segregacją odpadów.</w:t>
      </w:r>
    </w:p>
    <w:p>
      <w:pPr>
        <w:pStyle w:val="Normal"/>
        <w:rPr>
          <w:iCs/>
        </w:rPr>
      </w:pPr>
      <w:r>
        <w:rPr>
          <w:iCs/>
        </w:rPr>
        <w:t>Kolejnym ważnym wskaźnikiem dotyczącym środowiska jest ilość wyrobów zawierających azbest. Według stanu na koniec 2024 r. na obszarze rewitalizacji było łącznie 35,5 ton takich wyrobów, co stanowi 19% wartości dla całej gminy. Pozytywem jest to, że problemem związanym z azbestem nie jest obarczona miejscowa infrastruktura wodociągowa.</w:t>
      </w:r>
    </w:p>
    <w:p>
      <w:pPr>
        <w:pStyle w:val="Normal"/>
        <w:rPr>
          <w:iCs/>
        </w:rPr>
      </w:pPr>
      <w:r>
        <w:rPr>
          <w:iCs/>
        </w:rPr>
        <w:t>W kontekście ochrony przyrody należy odnotować, że obszar rewitalizacji znajduje się w sąsiedztwie obszaru chronionego krajobrazu „Wzgórza Dalkowskie”, który na terenie Gminy Nowe Miasteczko zajmuje powierzchnię 667,32 ha. W gminie nie występują użytki ekologiczne. Natomiast na granicy obszaru rewitalizacji (nieopodal boiska szkolnego) znajduje się dąb szypułkowy (</w:t>
      </w:r>
      <w:r>
        <w:rPr>
          <w:i/>
          <w:iCs/>
        </w:rPr>
        <w:t>Quercus robur</w:t>
      </w:r>
      <w:r>
        <w:rPr>
          <w:iCs/>
        </w:rPr>
        <w:t>) Dominik, który w 2025 roku Rada Miejska w Nowym Miasteczku ustanowiła pomnikiem przyrody.</w:t>
      </w:r>
    </w:p>
    <w:p>
      <w:pPr>
        <w:pStyle w:val="Fotografie"/>
        <w:rPr/>
      </w:pPr>
      <w:bookmarkStart w:id="40" w:name="_Toc216991231"/>
      <w:r>
        <w:rPr/>
        <w:t>Fotografia 15. Fragment lasu w Niecieczy</w:t>
      </w:r>
      <w:bookmarkEnd w:id="40"/>
    </w:p>
    <w:p>
      <w:pPr>
        <w:pStyle w:val="Normal"/>
        <w:jc w:val="center"/>
        <w:rPr>
          <w:iCs/>
        </w:rPr>
      </w:pPr>
      <w:r>
        <w:rPr/>
        <w:drawing>
          <wp:inline distT="0" distB="0" distL="0" distR="0">
            <wp:extent cx="4897755" cy="3675380"/>
            <wp:effectExtent l="0" t="0" r="0" b="0"/>
            <wp:docPr id="38" name="Obraz26" descr="Obraz zawierający na wolnym powietrzu, niebo, roślina, drzewo&#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az26" descr="Obraz zawierający na wolnym powietrzu, niebo, roślina, drzewo&#10;&#10;Zawartość wygenerowana przez AI może być niepoprawna." title=""/>
                    <pic:cNvPicPr>
                      <a:picLocks noChangeAspect="1" noChangeArrowheads="1"/>
                    </pic:cNvPicPr>
                  </pic:nvPicPr>
                  <pic:blipFill>
                    <a:blip r:embed="rId45"/>
                    <a:stretch>
                      <a:fillRect/>
                    </a:stretch>
                  </pic:blipFill>
                  <pic:spPr bwMode="auto">
                    <a:xfrm>
                      <a:off x="0" y="0"/>
                      <a:ext cx="4897755" cy="3675380"/>
                    </a:xfrm>
                    <a:prstGeom prst="rect">
                      <a:avLst/>
                    </a:prstGeom>
                    <a:noFill/>
                  </pic:spPr>
                </pic:pic>
              </a:graphicData>
            </a:graphic>
          </wp:inline>
        </w:drawing>
      </w:r>
    </w:p>
    <w:p>
      <w:pPr>
        <w:pStyle w:val="Normal"/>
        <w:rPr>
          <w:iCs/>
        </w:rPr>
      </w:pPr>
      <w:r>
        <w:rPr>
          <w:iCs/>
        </w:rPr>
        <w:t>Podsumowując, wśród głównych działań, jakie należy podjąć na obszarze rewitalizacji w Nowy Miasteczku w sferach, które można powiązać ze środowiskiem, ale też z przestrzeniami publicznymi, mieszkańcy w ankietach i wywiadach wskazują m.in. rewaloryzację rynku, terenów zielonych, wyprowadzenie ruchu samochodów ciężarowych z centrum miasta (budowa obwodnicy), rozmieszczenie koszy na śmieci w bliższych odległościach, a także termomodernizację. W Niecieczy jest to przede wszystkim budowa sieci kanalizacyjnej i oczyszczalni ścieków. Ponadto, w świetle rosnących wyzwań związanych ze zmianami klimatu istotne będzie wdrażanie szerokiego wachlarza działań adaptacyjnych do zachodzących zmian klimatycznych na obszarze rewitalizacji i w jego sąsiedztwie. Kluczowe w tym zakresie będzie ciągłe poszukiwanie nowych rozwiązań, w ślad za najnowszymi badaniami, a także potencjalnych źródeł finansowania.</w:t>
      </w:r>
    </w:p>
    <w:p>
      <w:pPr>
        <w:pStyle w:val="Heading2"/>
        <w:rPr/>
      </w:pPr>
      <w:bookmarkStart w:id="41" w:name="_Toc216991160"/>
      <w:r>
        <w:rPr/>
        <w:t>2.6. Diagnoza zjawisk technicznych</w:t>
      </w:r>
      <w:bookmarkEnd w:id="41"/>
    </w:p>
    <w:p>
      <w:pPr>
        <w:pStyle w:val="Normal"/>
        <w:rPr/>
      </w:pPr>
      <w:r>
        <w:rPr/>
        <w:t xml:space="preserve">Jednym z podstawowych problemów w odniesieniu do sfery technicznej, wykazanych podczas delimitacji obszaru zdegradowanego i obszaru rewitalizacji, jest stan komunalnego zasobu mieszkaniowego w Gminie Nowe Miasteczko. Według stanu na 31 grudnia 2024 r. dominująca większość mieszkań komunalnych pozostających w zasobie gminnym znajduje się na obszarze rewitalizacji w części miejskiej Nowego Miasteczka (25 na 29 wszystkich mieszkań). Aż 80% tych mieszkań (20) stanowią lokale bez centralnego ogrzewania i ciepłej wody użytkowej. Dwa mieszkania nie posiadają dodatkowo łazienki i/lub wc. Dane te świadczą o dużych potrzebach w zakresie poprawy stanu technicznego mieszkań komunalnych. Działania te wpłynąć mogą nie tylko na komfort użytkowników tych lokali, ale również ich poczucie godności. Należy odnotować, że na obszarze rewitalizacji w Niecieczy nie znajdują się mieszkania komunalne. </w:t>
      </w:r>
    </w:p>
    <w:p>
      <w:pPr>
        <w:pStyle w:val="Tabele"/>
        <w:jc w:val="center"/>
        <w:rPr/>
      </w:pPr>
      <w:bookmarkStart w:id="42" w:name="_Toc216991205"/>
      <w:r>
        <w:rPr/>
        <w:t>Tabela 3. Wybrane wskaźniki ilustrujące kryzysową sytuację w sferze technicznej na obszarze rewitalizacji w Nowym Miasteczku (2024)</w:t>
      </w:r>
      <w:bookmarkEnd w:id="42"/>
    </w:p>
    <w:tbl>
      <w:tblPr>
        <w:tblStyle w:val="Tabelasiatki1jasna1"/>
        <w:tblW w:w="8359" w:type="dxa"/>
        <w:jc w:val="center"/>
        <w:tblInd w:w="0" w:type="dxa"/>
        <w:tblLayout w:type="fixed"/>
        <w:tblCellMar>
          <w:top w:w="0" w:type="dxa"/>
          <w:start w:w="108" w:type="dxa"/>
          <w:bottom w:w="0" w:type="dxa"/>
          <w:end w:w="108" w:type="dxa"/>
        </w:tblCellMar>
        <w:tblLook w:firstRow="1" w:noVBand="1" w:lastRow="0" w:firstColumn="1" w:lastColumn="0" w:noHBand="0" w:val="04a0"/>
      </w:tblPr>
      <w:tblGrid>
        <w:gridCol w:w="2786"/>
        <w:gridCol w:w="2786"/>
        <w:gridCol w:w="2787"/>
      </w:tblGrid>
      <w:tr>
        <w:trPr>
          <w:trHeight w:val="416" w:hRule="atLeast"/>
          <w:cnfStyle w:val="100000000000" w:firstRow="1" w:lastRow="0" w:firstColumn="0" w:lastColumn="0" w:oddVBand="0" w:evenVBand="0" w:oddHBand="0" w:evenHBand="0" w:firstRowFirstColumn="0" w:firstRowLastColumn="0" w:lastRowFirstColumn="0" w:lastRowLastColumn="0"/>
        </w:trPr>
        <w:tc>
          <w:tcPr>
            <w:tcW w:w="2786" w:type="dxa"/>
            <w:vMerge w:val="restart"/>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lineRule="auto" w:line="259" w:before="0" w:after="160"/>
              <w:rPr>
                <w:sz w:val="18"/>
              </w:rPr>
            </w:pPr>
            <w:r>
              <w:rPr>
                <w:rFonts w:eastAsia="Aptos" w:cs=""/>
                <w:b/>
                <w:bCs/>
                <w:kern w:val="0"/>
                <w:sz w:val="18"/>
                <w:szCs w:val="22"/>
                <w:lang w:val="pl-PL" w:eastAsia="en-US" w:bidi="ar-SA"/>
              </w:rPr>
              <w:t>Nazwa wskaźnika</w:t>
            </w:r>
          </w:p>
        </w:tc>
        <w:tc>
          <w:tcPr>
            <w:tcW w:w="5573" w:type="dxa"/>
            <w:gridSpan w:val="2"/>
            <w:tcBorders>
              <w:bottom w:val="single" w:sz="12" w:space="0" w:color="666666"/>
            </w:tcBorders>
          </w:tcPr>
          <w:p>
            <w:pPr>
              <w:pStyle w:val="Normal"/>
              <w:widowControl w:val="false"/>
              <w:suppressAutoHyphens w:val="true"/>
              <w:spacing w:lineRule="auto" w:line="259" w:before="0" w:after="160"/>
              <w:cnfStyle w:val="100000000000" w:firstRow="1" w:lastRow="0" w:firstColumn="0" w:lastColumn="0" w:oddVBand="0" w:evenVBand="0" w:oddHBand="0" w:evenHBand="0" w:firstRowFirstColumn="0" w:firstRowLastColumn="0" w:lastRowFirstColumn="0" w:lastRowLastColumn="0"/>
              <w:rPr>
                <w:sz w:val="18"/>
              </w:rPr>
            </w:pPr>
            <w:r>
              <w:rPr>
                <w:rFonts w:eastAsia="Aptos" w:cs=""/>
                <w:b/>
                <w:bCs/>
                <w:kern w:val="0"/>
                <w:sz w:val="18"/>
                <w:szCs w:val="22"/>
                <w:lang w:val="pl-PL" w:eastAsia="en-US" w:bidi="ar-SA"/>
              </w:rPr>
              <w:t>Średnie wartości wskaźnika</w:t>
            </w:r>
          </w:p>
        </w:tc>
      </w:tr>
      <w:tr>
        <w:trPr>
          <w:trHeight w:val="428" w:hRule="atLeast"/>
        </w:trPr>
        <w:tc>
          <w:tcPr>
            <w:tcW w:w="2786" w:type="dxa"/>
            <w:vMerge w:val="continue"/>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lineRule="auto" w:line="259" w:before="0" w:after="160"/>
              <w:rPr>
                <w:sz w:val="18"/>
              </w:rPr>
            </w:pPr>
            <w:r>
              <w:rPr>
                <w:rFonts w:eastAsia="Aptos" w:cs=""/>
                <w:b/>
                <w:bCs/>
                <w:kern w:val="2"/>
                <w:sz w:val="18"/>
                <w:szCs w:val="22"/>
                <w:lang w:val="pl-PL" w:eastAsia="en-US" w:bidi="ar-SA"/>
              </w:rPr>
            </w:r>
          </w:p>
        </w:tc>
        <w:tc>
          <w:tcPr>
            <w:tcW w:w="2786" w:type="dxa"/>
            <w:tcBorders/>
          </w:tcPr>
          <w:p>
            <w:pPr>
              <w:pStyle w:val="Normal"/>
              <w:widowControl w:val="false"/>
              <w:suppressAutoHyphens w:val="true"/>
              <w:spacing w:lineRule="auto" w:line="259" w:before="0" w:after="160"/>
              <w:jc w:val="center"/>
              <w:cnfStyle w:val="000000000000" w:firstRow="0" w:lastRow="0" w:firstColumn="0" w:lastColumn="0" w:oddVBand="0" w:evenVBand="0" w:oddHBand="0" w:evenHBand="0" w:firstRowFirstColumn="0" w:firstRowLastColumn="0" w:lastRowFirstColumn="0" w:lastRowLastColumn="0"/>
              <w:rPr>
                <w:sz w:val="18"/>
              </w:rPr>
            </w:pPr>
            <w:r>
              <w:rPr>
                <w:rFonts w:eastAsia="Aptos" w:cs=""/>
                <w:kern w:val="0"/>
                <w:sz w:val="18"/>
                <w:szCs w:val="22"/>
                <w:lang w:val="pl-PL" w:eastAsia="en-US" w:bidi="ar-SA"/>
              </w:rPr>
              <w:t>Gmina Nowe Miasteczko</w:t>
            </w:r>
          </w:p>
        </w:tc>
        <w:tc>
          <w:tcPr>
            <w:tcW w:w="2787" w:type="dxa"/>
            <w:tcBorders/>
          </w:tcPr>
          <w:p>
            <w:pPr>
              <w:pStyle w:val="Normal"/>
              <w:widowControl w:val="false"/>
              <w:suppressAutoHyphens w:val="true"/>
              <w:spacing w:lineRule="auto" w:line="259" w:before="0" w:after="160"/>
              <w:jc w:val="center"/>
              <w:cnfStyle w:val="000000000000" w:firstRow="0" w:lastRow="0" w:firstColumn="0" w:lastColumn="0" w:oddVBand="0" w:evenVBand="0" w:oddHBand="0" w:evenHBand="0" w:firstRowFirstColumn="0" w:firstRowLastColumn="0" w:lastRowFirstColumn="0" w:lastRowLastColumn="0"/>
              <w:rPr>
                <w:sz w:val="18"/>
              </w:rPr>
            </w:pPr>
            <w:r>
              <w:rPr>
                <w:rFonts w:eastAsia="Aptos" w:cs=""/>
                <w:kern w:val="0"/>
                <w:sz w:val="18"/>
                <w:szCs w:val="22"/>
                <w:lang w:val="pl-PL" w:eastAsia="en-US" w:bidi="ar-SA"/>
              </w:rPr>
              <w:t>Obszar rewitalizacji w Nowym Miasteczku</w:t>
            </w:r>
          </w:p>
        </w:tc>
      </w:tr>
      <w:tr>
        <w:trPr>
          <w:trHeight w:val="433" w:hRule="atLeast"/>
        </w:trPr>
        <w:tc>
          <w:tcPr>
            <w:tcW w:w="2786"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lineRule="auto" w:line="259" w:before="0" w:after="160"/>
              <w:jc w:val="start"/>
              <w:rPr>
                <w:sz w:val="18"/>
              </w:rPr>
            </w:pPr>
            <w:r>
              <w:rPr>
                <w:rFonts w:eastAsia="Aptos" w:cs=""/>
                <w:b/>
                <w:bCs/>
                <w:kern w:val="0"/>
                <w:sz w:val="18"/>
                <w:szCs w:val="22"/>
                <w:lang w:val="pl-PL" w:eastAsia="en-US" w:bidi="ar-SA"/>
              </w:rPr>
              <w:t>Liczba mieszkań komunalnych bez c.o. i c.w.u. / 1000 mieszkańców</w:t>
            </w:r>
          </w:p>
        </w:tc>
        <w:tc>
          <w:tcPr>
            <w:tcW w:w="2786" w:type="dxa"/>
            <w:tcBorders/>
          </w:tcPr>
          <w:p>
            <w:pPr>
              <w:pStyle w:val="Normal"/>
              <w:widowControl w:val="false"/>
              <w:suppressAutoHyphens w:val="true"/>
              <w:spacing w:lineRule="auto" w:line="259" w:before="0" w:after="160"/>
              <w:jc w:val="center"/>
              <w:cnfStyle w:val="000000000000" w:firstRow="0" w:lastRow="0" w:firstColumn="0" w:lastColumn="0" w:oddVBand="0" w:evenVBand="0" w:oddHBand="0" w:evenHBand="0" w:firstRowFirstColumn="0" w:firstRowLastColumn="0" w:lastRowFirstColumn="0" w:lastRowLastColumn="0"/>
              <w:rPr>
                <w:sz w:val="18"/>
              </w:rPr>
            </w:pPr>
            <w:r>
              <w:rPr>
                <w:rFonts w:eastAsia="Aptos" w:cs=""/>
                <w:kern w:val="0"/>
                <w:sz w:val="18"/>
                <w:szCs w:val="22"/>
                <w:lang w:val="pl-PL" w:eastAsia="en-US" w:bidi="ar-SA"/>
              </w:rPr>
              <w:t>25</w:t>
            </w:r>
          </w:p>
        </w:tc>
        <w:tc>
          <w:tcPr>
            <w:tcW w:w="2787" w:type="dxa"/>
            <w:tcBorders/>
          </w:tcPr>
          <w:p>
            <w:pPr>
              <w:pStyle w:val="Normal"/>
              <w:widowControl w:val="false"/>
              <w:suppressAutoHyphens w:val="true"/>
              <w:spacing w:lineRule="auto" w:line="259" w:before="0" w:after="160"/>
              <w:jc w:val="center"/>
              <w:cnfStyle w:val="000000000000" w:firstRow="0" w:lastRow="0" w:firstColumn="0" w:lastColumn="0" w:oddVBand="0" w:evenVBand="0" w:oddHBand="0" w:evenHBand="0" w:firstRowFirstColumn="0" w:firstRowLastColumn="0" w:lastRowFirstColumn="0" w:lastRowLastColumn="0"/>
              <w:rPr>
                <w:sz w:val="18"/>
              </w:rPr>
            </w:pPr>
            <w:r>
              <w:rPr>
                <w:rFonts w:eastAsia="Aptos" w:cs=""/>
                <w:kern w:val="0"/>
                <w:sz w:val="18"/>
                <w:szCs w:val="22"/>
                <w:lang w:val="pl-PL" w:eastAsia="en-US" w:bidi="ar-SA"/>
              </w:rPr>
              <w:t>20</w:t>
            </w:r>
          </w:p>
        </w:tc>
      </w:tr>
      <w:tr>
        <w:trPr>
          <w:trHeight w:val="433" w:hRule="atLeast"/>
        </w:trPr>
        <w:tc>
          <w:tcPr>
            <w:tcW w:w="2786"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lineRule="auto" w:line="259" w:before="0" w:after="160"/>
              <w:jc w:val="start"/>
              <w:rPr>
                <w:sz w:val="18"/>
              </w:rPr>
            </w:pPr>
            <w:r>
              <w:rPr>
                <w:rFonts w:eastAsia="Aptos" w:cs=""/>
                <w:b/>
                <w:bCs/>
                <w:kern w:val="0"/>
                <w:sz w:val="18"/>
                <w:szCs w:val="22"/>
                <w:lang w:val="pl-PL" w:eastAsia="en-US" w:bidi="ar-SA"/>
              </w:rPr>
              <w:t>Liczba mieszkań komunalnych bez łazienki i/lub wc / 1000 mieszkańców</w:t>
            </w:r>
          </w:p>
        </w:tc>
        <w:tc>
          <w:tcPr>
            <w:tcW w:w="2786" w:type="dxa"/>
            <w:tcBorders/>
          </w:tcPr>
          <w:p>
            <w:pPr>
              <w:pStyle w:val="Normal"/>
              <w:widowControl w:val="false"/>
              <w:suppressAutoHyphens w:val="true"/>
              <w:spacing w:lineRule="auto" w:line="259" w:before="0" w:after="160"/>
              <w:jc w:val="center"/>
              <w:cnfStyle w:val="000000000000" w:firstRow="0" w:lastRow="0" w:firstColumn="0" w:lastColumn="0" w:oddVBand="0" w:evenVBand="0" w:oddHBand="0" w:evenHBand="0" w:firstRowFirstColumn="0" w:firstRowLastColumn="0" w:lastRowFirstColumn="0" w:lastRowLastColumn="0"/>
              <w:rPr>
                <w:sz w:val="18"/>
              </w:rPr>
            </w:pPr>
            <w:r>
              <w:rPr>
                <w:rFonts w:eastAsia="Aptos" w:cs=""/>
                <w:kern w:val="0"/>
                <w:sz w:val="18"/>
                <w:szCs w:val="22"/>
                <w:lang w:val="pl-PL" w:eastAsia="en-US" w:bidi="ar-SA"/>
              </w:rPr>
              <w:t>4</w:t>
            </w:r>
          </w:p>
        </w:tc>
        <w:tc>
          <w:tcPr>
            <w:tcW w:w="2787" w:type="dxa"/>
            <w:tcBorders/>
          </w:tcPr>
          <w:p>
            <w:pPr>
              <w:pStyle w:val="Normal"/>
              <w:widowControl w:val="false"/>
              <w:suppressAutoHyphens w:val="true"/>
              <w:spacing w:lineRule="auto" w:line="259" w:before="0" w:after="160"/>
              <w:jc w:val="center"/>
              <w:cnfStyle w:val="000000000000" w:firstRow="0" w:lastRow="0" w:firstColumn="0" w:lastColumn="0" w:oddVBand="0" w:evenVBand="0" w:oddHBand="0" w:evenHBand="0" w:firstRowFirstColumn="0" w:firstRowLastColumn="0" w:lastRowFirstColumn="0" w:lastRowLastColumn="0"/>
              <w:rPr>
                <w:sz w:val="18"/>
              </w:rPr>
            </w:pPr>
            <w:r>
              <w:rPr>
                <w:rFonts w:eastAsia="Aptos" w:cs=""/>
                <w:kern w:val="0"/>
                <w:sz w:val="18"/>
                <w:szCs w:val="22"/>
                <w:lang w:val="pl-PL" w:eastAsia="en-US" w:bidi="ar-SA"/>
              </w:rPr>
              <w:t>2</w:t>
            </w:r>
          </w:p>
        </w:tc>
      </w:tr>
    </w:tbl>
    <w:p>
      <w:pPr>
        <w:pStyle w:val="Normal"/>
        <w:rPr>
          <w:bCs/>
        </w:rPr>
      </w:pPr>
      <w:r>
        <w:rPr>
          <w:sz w:val="18"/>
        </w:rPr>
        <w:t>Źródło: opracowanie własne na podstawie „Diagnoza i wyznaczenie obszaru zdegradowanego i obszaru rewitalizacji Gminy i Miasta Nowe Miasteczko”</w:t>
      </w:r>
    </w:p>
    <w:p>
      <w:pPr>
        <w:pStyle w:val="Normal"/>
        <w:rPr/>
      </w:pPr>
      <w:r>
        <w:rPr/>
        <w:t xml:space="preserve">Obok poprawy standardu technicznego istniejącego zasobu mieszkaniowego pojawia się potrzeba rozwoju tego zasobu, zarówno pod kątem mieszkań komunalnych, jak i lokali przeznaczonych dla młodych mieszkańców, samotnych rodziców i osób starszych. Brak nowych mieszkań, niewystarczająca liczba dostępnych lokali powoduje presję migracyjną, szczególnie wśród osób w wieku produkcyjnym. W ocenie mieszkańców, z którymi przeprowadzano wywiady grupowe podczas prac nad </w:t>
      </w:r>
      <w:r>
        <w:rPr>
          <w:i/>
          <w:iCs/>
        </w:rPr>
        <w:t>Programem</w:t>
      </w:r>
      <w:r>
        <w:rPr/>
        <w:t xml:space="preserve">, tworzenie nowych zasobów mieszkaniowych mogłoby stać się elementem przeciwdziałania odpływowi ludności z Nowego Miasteczka. Wskazuje to na potrzebę zwiększania zasobu mieszkań na wynajem o umiarkowanych czynszach – dla tej grupy osób i rodzin, które nie kwalifikują się do zamieszkania w zasobie komunalnym, a jednocześnie nie chcą lub nie mogą zaciągać kredytu hipotecznego. </w:t>
      </w:r>
    </w:p>
    <w:p>
      <w:pPr>
        <w:pStyle w:val="Normal"/>
        <w:rPr/>
      </w:pPr>
      <w:r>
        <w:rPr/>
        <w:t>Problemem, na który zwracają uwagę mieszkańcy, jest stan techniczny kamienic znajdujących się w Rynku i jego bezpośrednim sąsiedztwie. Wiele z nich charakteryzuje się zniszczonymi elewacjami, które negatywnie wpływają na ogólny wizerunek tego miejsca, ale potrafią być również zagrożeniem dla bezpieczeństwa przechodniów, np. ze względu na odpadające kawałki farby czy tynku. Problemy techniczne kamienic nie ograniczają się jedynie do ich fasad, ale mają również głębszy charakter. W licznych budynkach renowacji wymagają chociażby konstrukcje dachowe czy klatki schodowe.</w:t>
      </w:r>
    </w:p>
    <w:p>
      <w:pPr>
        <w:pStyle w:val="Fotografie"/>
        <w:rPr/>
      </w:pPr>
      <w:bookmarkStart w:id="43" w:name="_Toc216991232"/>
      <w:r>
        <w:rPr/>
        <w:t>Fotografia 16. Zniszczone elewacje kamienic w Rynku</w:t>
      </w:r>
      <w:bookmarkEnd w:id="43"/>
    </w:p>
    <w:p>
      <w:pPr>
        <w:pStyle w:val="Normal"/>
        <w:jc w:val="center"/>
        <w:rPr/>
      </w:pPr>
      <w:r>
        <w:rPr/>
        <w:drawing>
          <wp:inline distT="0" distB="0" distL="0" distR="0">
            <wp:extent cx="2752090" cy="2065020"/>
            <wp:effectExtent l="0" t="0" r="0" b="0"/>
            <wp:docPr id="39" name="Obraz27" descr="Obraz zawierający budynek, na wolnym powietrzu, fasada, cegła&#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Obraz27" descr="Obraz zawierający budynek, na wolnym powietrzu, fasada, cegła&#10;&#10;Zawartość wygenerowana przez AI może być niepoprawna." title=""/>
                    <pic:cNvPicPr>
                      <a:picLocks noChangeAspect="1" noChangeArrowheads="1"/>
                    </pic:cNvPicPr>
                  </pic:nvPicPr>
                  <pic:blipFill>
                    <a:blip r:embed="rId46"/>
                    <a:stretch>
                      <a:fillRect/>
                    </a:stretch>
                  </pic:blipFill>
                  <pic:spPr bwMode="auto">
                    <a:xfrm>
                      <a:off x="0" y="0"/>
                      <a:ext cx="2752090" cy="2065020"/>
                    </a:xfrm>
                    <a:prstGeom prst="rect">
                      <a:avLst/>
                    </a:prstGeom>
                    <a:noFill/>
                  </pic:spPr>
                </pic:pic>
              </a:graphicData>
            </a:graphic>
          </wp:inline>
        </w:drawing>
      </w:r>
      <w:r>
        <w:rPr/>
        <w:t xml:space="preserve">   </w:t>
      </w:r>
      <w:r>
        <w:rPr/>
        <w:drawing>
          <wp:inline distT="0" distB="0" distL="0" distR="0">
            <wp:extent cx="2760980" cy="2072005"/>
            <wp:effectExtent l="0" t="0" r="0" b="0"/>
            <wp:docPr id="40" name="Obraz28" descr="Obraz zawierający okno, na wolnym powietrzu, niebo, budynek&#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Obraz28" descr="Obraz zawierający okno, na wolnym powietrzu, niebo, budynek&#10;&#10;Zawartość wygenerowana przez AI może być niepoprawna." title=""/>
                    <pic:cNvPicPr>
                      <a:picLocks noChangeAspect="1" noChangeArrowheads="1"/>
                    </pic:cNvPicPr>
                  </pic:nvPicPr>
                  <pic:blipFill>
                    <a:blip r:embed="rId47"/>
                    <a:stretch>
                      <a:fillRect/>
                    </a:stretch>
                  </pic:blipFill>
                  <pic:spPr bwMode="auto">
                    <a:xfrm>
                      <a:off x="0" y="0"/>
                      <a:ext cx="2760980" cy="2072005"/>
                    </a:xfrm>
                    <a:prstGeom prst="rect">
                      <a:avLst/>
                    </a:prstGeom>
                    <a:noFill/>
                  </pic:spPr>
                </pic:pic>
              </a:graphicData>
            </a:graphic>
          </wp:inline>
        </w:drawing>
      </w:r>
    </w:p>
    <w:p>
      <w:pPr>
        <w:pStyle w:val="Normal"/>
        <w:rPr/>
      </w:pPr>
      <w:r>
        <w:rPr/>
        <w:t>Degradacja techniczna ścisłej zabudowy miejskiej w obrębie Rynku ma postępujący charakter ze względu na nieograniczony ruch samochodowy w tym miejscu. Przejeżdżające przez Rynek wielkogabarytowe samochody ciężarowe przyczyniają się do dalszego szybkiego niszczenia kamienic. Mieszkańcy obawiają się o swoje bezpieczeństwo, mówiąc nawet o grożącej w dłuższej perspektywie katastrofie budowlanej. Wydaje się zatem, że działania zmierzające do poprawy stanu technicznego okolicznych budynków będą miały sens wyłącznie w przypadku znaczącego ograniczenia bądź całkowitego zlikwidowania ruchu kołowego w tym miejscu. Krokiem w tym kierunku może być zrealizowanie planowanej od dłuższego czasu inwestycji w postaci obwodnicy Nowego Miasteczka. Jej potencjalny przebieg nie będzie mieścił się w granicach obszaru rewitalizacji, jednak takie przedsięwzięcie z pewnością można będzie uznać za rewitalizacyjne. Rozwiąże ono bowiem szereg problemów mieszkańców obszaru rewitalizacji – oprócz postępującej degradacji zabudowy oraz niskiego poziomu bezpieczeństwa, można tu wymienić jeszcze zanieczyszczenie hałasem czy emitowanie spalin.</w:t>
      </w:r>
    </w:p>
    <w:p>
      <w:pPr>
        <w:pStyle w:val="Fotografie"/>
        <w:rPr/>
      </w:pPr>
      <w:r>
        <w:rPr/>
      </w:r>
    </w:p>
    <w:p>
      <w:pPr>
        <w:pStyle w:val="Fotografie"/>
        <w:rPr/>
      </w:pPr>
      <w:r>
        <w:rPr/>
      </w:r>
    </w:p>
    <w:p>
      <w:pPr>
        <w:pStyle w:val="Fotografie"/>
        <w:rPr/>
      </w:pPr>
      <w:r>
        <w:rPr/>
      </w:r>
    </w:p>
    <w:p>
      <w:pPr>
        <w:pStyle w:val="Fotografie"/>
        <w:rPr/>
      </w:pPr>
      <w:r>
        <w:rPr/>
      </w:r>
    </w:p>
    <w:p>
      <w:pPr>
        <w:pStyle w:val="Fotografie"/>
        <w:rPr/>
      </w:pPr>
      <w:r>
        <w:rPr/>
      </w:r>
    </w:p>
    <w:p>
      <w:pPr>
        <w:pStyle w:val="Fotografie"/>
        <w:rPr/>
      </w:pPr>
      <w:r>
        <w:rPr/>
      </w:r>
    </w:p>
    <w:p>
      <w:pPr>
        <w:pStyle w:val="Fotografie"/>
        <w:rPr/>
      </w:pPr>
      <w:r>
        <w:rPr/>
      </w:r>
    </w:p>
    <w:p>
      <w:pPr>
        <w:pStyle w:val="Fotografie"/>
        <w:rPr/>
      </w:pPr>
      <w:bookmarkStart w:id="44" w:name="_Toc216991233"/>
      <w:r>
        <w:rPr/>
        <w:t>Fotografia 17. Ciężarówka z ładunkiem przejeżdżająca przez Rynek</w:t>
      </w:r>
      <w:bookmarkEnd w:id="44"/>
    </w:p>
    <w:p>
      <w:pPr>
        <w:pStyle w:val="Normal"/>
        <w:jc w:val="center"/>
        <w:rPr/>
      </w:pPr>
      <w:r>
        <w:rPr/>
        <w:drawing>
          <wp:inline distT="0" distB="0" distL="0" distR="0">
            <wp:extent cx="3691890" cy="2771140"/>
            <wp:effectExtent l="0" t="0" r="0" b="0"/>
            <wp:docPr id="41" name="Obraz29" descr="Obraz zawierający na wolnym powietrzu, Pojazd lądowy, pojazd, niebo&#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Obraz29" descr="Obraz zawierający na wolnym powietrzu, Pojazd lądowy, pojazd, niebo&#10;&#10;Zawartość wygenerowana przez AI może być niepoprawna." title=""/>
                    <pic:cNvPicPr>
                      <a:picLocks noChangeAspect="1" noChangeArrowheads="1"/>
                    </pic:cNvPicPr>
                  </pic:nvPicPr>
                  <pic:blipFill>
                    <a:blip r:embed="rId48"/>
                    <a:stretch>
                      <a:fillRect/>
                    </a:stretch>
                  </pic:blipFill>
                  <pic:spPr bwMode="auto">
                    <a:xfrm>
                      <a:off x="0" y="0"/>
                      <a:ext cx="3691890" cy="2771140"/>
                    </a:xfrm>
                    <a:prstGeom prst="rect">
                      <a:avLst/>
                    </a:prstGeom>
                    <a:noFill/>
                  </pic:spPr>
                </pic:pic>
              </a:graphicData>
            </a:graphic>
          </wp:inline>
        </w:drawing>
      </w:r>
    </w:p>
    <w:p>
      <w:pPr>
        <w:pStyle w:val="Normal"/>
        <w:rPr/>
      </w:pPr>
      <w:r>
        <w:rPr/>
        <w:t>Również wyniki ankiety przeprowadzonej wśród mieszkańców świadczą o dużych potrzebach w zakresie poprawy stanu technicznego budynków na obszarze rewitalizacji w Nowym Miasteczku. Jako zły określiło go 21% ankietowanych, a jako bardzo zły – 17%. Z kolei najczęściej pojawiającą się odpowiedzią było „Ani dobry, ani zły” (34% respondentów).</w:t>
      </w:r>
    </w:p>
    <w:p>
      <w:pPr>
        <w:pStyle w:val="Wykresy2"/>
        <w:rPr/>
      </w:pPr>
      <w:bookmarkStart w:id="45" w:name="_Toc216991216"/>
      <w:r>
        <w:rPr/>
        <w:t>Wykres 4. Ocena stanu technicznego budynków na obszarze rewitalizacji</w:t>
      </w:r>
      <w:bookmarkEnd w:id="45"/>
    </w:p>
    <w:p>
      <w:pPr>
        <w:pStyle w:val="Normal"/>
        <w:rPr/>
      </w:pPr>
      <w:r>
        <w:rPr/>
        <w:drawing>
          <wp:inline distT="0" distB="0" distL="0" distR="0">
            <wp:extent cx="5364480" cy="2992120"/>
            <wp:effectExtent l="0" t="0" r="0" b="0"/>
            <wp:docPr id="42" name="Obiekt4" descr="" title=""/>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pPr>
        <w:pStyle w:val="Normal"/>
        <w:rPr/>
      </w:pPr>
      <w:r>
        <w:rPr/>
        <w:t xml:space="preserve">Osoby mieszkające w obrębie Rynku zwracają również uwagę, że nieuregulowany ruch samochodowy przyczynia się do występowania problemu parkowania aut w miejscach, które nie są do tego wyznaczone. Skutkuje to choćby utrudnionym dojazdem dla służb porządkowych i ratunkowych. Obawy budzi ponadto niewystarczająca ilość oświetlenia ulicznego czy progów zwalniających. Odpowiedzi na pytania otwarte zamieszczone w ankiecie, a także rozmowy z mieszkańcami wskazują również na problem dotyczący stanu technicznego placów zabaw na obszarze rewitalizacji (głos z ankiety: „plac zabaw koło kościoła nie jest bezpieczny, sporo szkła leży wokół ławek i pod huśtawkami, w dodatku zjeżdżalnia bardzo elektryzuje”). </w:t>
      </w:r>
    </w:p>
    <w:p>
      <w:pPr>
        <w:pStyle w:val="Normal"/>
        <w:rPr/>
      </w:pPr>
      <w:r>
        <w:rPr/>
        <w:t>Problemem podnoszonym przez wiele grup mieszkańców jest także fakt niedostosowania budynków użyteczności publicznej do potrzeb osób z niepełnosprawnościami. Dane z delimitacji wskazują, że na obszarze rewitalizacji znajdują się cztery takie obiekty. Zdaniem mieszkańców najbardziej problematyczne jest niedostosowanie budynku Urzędu Miejskiego w Nowym Miasteczku, ze względu na brak windy, wąskie i strome schody, a także ciężkie drzwi wejściowe. Przez te niedogodności część mieszkańców może załatwiać sprawy urzędowe jedynie w pomieszczeniach znajdujących się na parterze budynku. Ewentualne wprowadzenie usprawnień w tym zakresie jest dużym wyzwaniem ze względu na zabytkowy charakter budynku i związany z nim nadzór konserwatorski. Niedostosowany do potrzeb osób z niepełnosprawnościami jest również budynek Gminnego Ośrodka Kultury. Osoby niemogące poruszać się po schodach są wykluczone z zajęć prowadzonych na wyższych kondygnacjach. Kilka schodków pokonać trzeba także w drodze do znajdującej się w GOK Biblioteki Publicznej.</w:t>
      </w:r>
    </w:p>
    <w:p>
      <w:pPr>
        <w:pStyle w:val="Fotografie"/>
        <w:rPr/>
      </w:pPr>
      <w:bookmarkStart w:id="46" w:name="_Toc216991234"/>
      <w:r>
        <w:rPr/>
        <w:t>Fotografia 18. Wejście do Urzędu Miejskiego w Nowym Miasteczku. Po prawej drzwi stanowiące barierę dla osób z niepełnosprawnościami</w:t>
      </w:r>
      <w:bookmarkEnd w:id="46"/>
    </w:p>
    <w:p>
      <w:pPr>
        <w:pStyle w:val="Normal"/>
        <w:jc w:val="center"/>
        <w:rPr/>
      </w:pPr>
      <w:r>
        <w:rPr/>
        <w:drawing>
          <wp:inline distT="0" distB="0" distL="0" distR="0">
            <wp:extent cx="4146550" cy="3112135"/>
            <wp:effectExtent l="0" t="0" r="0" b="0"/>
            <wp:docPr id="43" name="Obraz30" descr="Obraz zawierający na wolnym powietrzu, niebo, okno, budynek&#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braz30" descr="Obraz zawierający na wolnym powietrzu, niebo, okno, budynek&#10;&#10;Zawartość wygenerowana przez AI może być niepoprawna." title=""/>
                    <pic:cNvPicPr>
                      <a:picLocks noChangeAspect="1" noChangeArrowheads="1"/>
                    </pic:cNvPicPr>
                  </pic:nvPicPr>
                  <pic:blipFill>
                    <a:blip r:embed="rId50"/>
                    <a:stretch>
                      <a:fillRect/>
                    </a:stretch>
                  </pic:blipFill>
                  <pic:spPr bwMode="auto">
                    <a:xfrm>
                      <a:off x="0" y="0"/>
                      <a:ext cx="4146550" cy="3112135"/>
                    </a:xfrm>
                    <a:prstGeom prst="rect">
                      <a:avLst/>
                    </a:prstGeom>
                    <a:noFill/>
                  </pic:spPr>
                </pic:pic>
              </a:graphicData>
            </a:graphic>
          </wp:inline>
        </w:drawing>
      </w:r>
    </w:p>
    <w:p>
      <w:pPr>
        <w:pStyle w:val="Normal"/>
        <w:rPr/>
      </w:pPr>
      <w:r>
        <w:rPr/>
        <w:t>Z osobnymi problemami związanymi ze sferą techniczną borykają się mieszkańcy obszaru rewitalizacji w Niecieczy. Teren tego sołectwa nie jest skanalizowany, co – biorąc pod uwagę wyniki ankiet oraz rozmowy podczas spaceru badawczego – jest najczęściej formułowanym przez mieszkańców problemem. Dodatkowo mieszkańcy Niecieczy zwracają uwagę na zły stan nawierzchni głównej drogi przebiegającej przez tę miejscowość oraz brak chodnika i ścieżki rowerowej, które łączyłyby Nieciecz z Nowym Miasteczkiem. Deficyty te sprawiają, że mieszkańcy każdego dnia martwią się o swoje bezpieczeństwo, ze względu na kierowców notorycznie przekraczających prędkość podczas przejazdów przez Nieciecz (we wsi nie ma również progów zwalniających).</w:t>
      </w:r>
    </w:p>
    <w:p>
      <w:pPr>
        <w:pStyle w:val="Fotografie"/>
        <w:rPr/>
      </w:pPr>
      <w:bookmarkStart w:id="47" w:name="_Toc216991235"/>
      <w:r>
        <w:rPr/>
        <w:t>Fotografia 19. Droga w Niecieczy</w:t>
      </w:r>
      <w:bookmarkEnd w:id="47"/>
    </w:p>
    <w:p>
      <w:pPr>
        <w:pStyle w:val="Normal"/>
        <w:jc w:val="center"/>
        <w:rPr/>
      </w:pPr>
      <w:r>
        <w:rPr/>
        <w:drawing>
          <wp:inline distT="0" distB="0" distL="0" distR="0">
            <wp:extent cx="3696970" cy="2774315"/>
            <wp:effectExtent l="0" t="0" r="0" b="0"/>
            <wp:docPr id="44" name="Obraz 5" descr="Obraz zawierający na wolnym powietrzu, niebo, budynek, roślina&#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Obraz 5" descr="Obraz zawierający na wolnym powietrzu, niebo, budynek, roślina&#10;&#10;Zawartość wygenerowana przez AI może być niepoprawna." title=""/>
                    <pic:cNvPicPr>
                      <a:picLocks noChangeAspect="1" noChangeArrowheads="1"/>
                    </pic:cNvPicPr>
                  </pic:nvPicPr>
                  <pic:blipFill>
                    <a:blip r:embed="rId51"/>
                    <a:stretch>
                      <a:fillRect/>
                    </a:stretch>
                  </pic:blipFill>
                  <pic:spPr bwMode="auto">
                    <a:xfrm>
                      <a:off x="0" y="0"/>
                      <a:ext cx="3696970" cy="2774315"/>
                    </a:xfrm>
                    <a:prstGeom prst="rect">
                      <a:avLst/>
                    </a:prstGeom>
                    <a:noFill/>
                  </pic:spPr>
                </pic:pic>
              </a:graphicData>
            </a:graphic>
          </wp:inline>
        </w:drawing>
      </w:r>
    </w:p>
    <w:p>
      <w:pPr>
        <w:pStyle w:val="Heading2"/>
        <w:rPr/>
      </w:pPr>
      <w:bookmarkStart w:id="48" w:name="_Toc216991161"/>
      <w:r>
        <w:rPr/>
        <w:t>2.7. Synteza diagnozy obszaru rewitalizacji wraz z analizą problemów, potrzeb i potencjałów rozwojowych, w tym wzajemnych powiązań gospodarczych, społecznych i środowiskowych.</w:t>
      </w:r>
      <w:bookmarkEnd w:id="48"/>
    </w:p>
    <w:p>
      <w:pPr>
        <w:pStyle w:val="Normal"/>
        <w:rPr/>
      </w:pPr>
      <w:r>
        <w:rPr/>
        <w:t>Szczegółowa diagnoza obszaru rewitalizacji objęła analizę negatywnych zjawisk społecznych, gospodarczych, środowiskowych, przestrzenno-funkcjonalnych oraz technicznych, a także zasoby dziedzictwa kulturowego. Prace diagnostyczne pozwoliły na identyfikację głównych problemów, potrzeb i potencjałów rozwojowych i umożliwiły wskazanie wzajemnych powiązań gospodarczych, społecznych i środowiskowych pomiędzy scharakteryzowanymi zjawiskami. Diagnoza oraz zawarta w tym rozdziale synteza diagnozy spełniają tym samym wymagania wynikające zarówno z ustawy o rewitalizacji, jak i „Zasad realizacji instrumentów terytorialnych w Polsce w perspektywie finansowej UE na lata 2021-2027”.</w:t>
      </w:r>
    </w:p>
    <w:p>
      <w:pPr>
        <w:pStyle w:val="Normal"/>
        <w:rPr/>
      </w:pPr>
      <w:r>
        <w:rPr/>
        <w:t>Obszar rewitalizacji jest miejscem szczególnej w skali gminy przestrzennej koncentracji problemów w sferze społecznej, na które dodatkowo nakładają się problemy w każdej z pozostałych sfer, tj. w sferach gospodarczej, środowiskowej, technicznej oraz przestrzenno-funkcjonalnej. Na obszarze rewitalizacji występuje znacznie gorsza sytuacja demograficzna niż w odniesieniu do całej gminy. Obszar ten jest również miejscem koncentracji problemów związanych z ubóstwem i przypadkami bezradności w sprawach opiekuńczo-wychowawczych i prowadzenia gospodarstwa domowego. Oznacza to potrzebę wdrażania różnorodnych przedsięwzięć ukierunkowanych na zmniejszanie wykluczenia i włączenie społeczne, adresowanych do różnych grup, a także całych rodzin. Zdiagnozowanym problemem jest również zjawisko wyizolowania mieszkańców sołectwa Nieciecz od życia społeczno-kulturalnego gminy. Na obszarze rewitalizacji występują też problemy w zakresie niezadowalającego stanu infrastruktury drogowej (brak chodnika i ścieżki rowerowej w Niecieczy, słabe oświetlenie dróg i brak progów zwalniających) oraz transportu publicznego. Poważnym problemem jest ogrzewanie budynków źródłami ciepła na paliwa stałe, co powoduje zanieczyszczenie powietrza. Mieszkańcy zauważają postępujący od lat uwiąd Rynku w Nowym Miasteczku jako centrum społeczno-gospodarczego gminy, związany głównie z przebiegającym tędy ruchem tranzytowym. Innymi poważnymi problemami są: brak oferty gastronomicznej, brak miejsc integracji mieszkańców (np. miejsce dla młodzieży w Nowym Miasteczku, świetlica wiejska w Niecieczy), niedostosowanie budynków użyteczności publicznej do potrzeb osób z niepełnosprawnościami. Istnieje w związku z tym potrzeba realizacji różnorodnych przedsięwzięć mających na celu poprawę jakości życia mieszkańców obszaru rewitalizacji. Potrzebne są działania skierowane w pierwszej kolejności na rozwiązywanie konkretnych problemów społecznych (wykluczenie społeczne, ubóstwo, niewystarczająca integracja mieszkańców, problemy osób ze szczególnymi potrzebami, etc.), które będę realizowane przy pomocy różnych narzędzi (programów wsparcia i wydarzeń kierowanych do różnych grup mieszkańców czy też modernizacji i tworzenia nowej infrastruktury).</w:t>
      </w:r>
    </w:p>
    <w:p>
      <w:pPr>
        <w:pStyle w:val="Normal"/>
        <w:rPr/>
      </w:pPr>
      <w:r>
        <w:rPr/>
        <w:t>W toku prac nad GPR zidentyfikowano silne potencjały, które przełożyły się m.in. na sformułowanie celów procesu rewitalizacji oraz założeń przedsięwzięć rewitalizacyjnych. Do potencjałów tych należą m.in.:</w:t>
      </w:r>
    </w:p>
    <w:p>
      <w:pPr>
        <w:pStyle w:val="ListParagraph"/>
        <w:numPr>
          <w:ilvl w:val="0"/>
          <w:numId w:val="10"/>
        </w:numPr>
        <w:suppressAutoHyphens w:val="false"/>
        <w:rPr/>
      </w:pPr>
      <w:r>
        <w:rPr/>
        <w:t>sprawnie funkcjonujące gminne jednostki organizacyjne – Ośrodek Pomocy Społecznej, Gminny Ośrodek Kultury;</w:t>
      </w:r>
    </w:p>
    <w:p>
      <w:pPr>
        <w:pStyle w:val="ListParagraph"/>
        <w:numPr>
          <w:ilvl w:val="0"/>
          <w:numId w:val="10"/>
        </w:numPr>
        <w:suppressAutoHyphens w:val="false"/>
        <w:rPr/>
      </w:pPr>
      <w:r>
        <w:rPr/>
        <w:t>wysoki poziom zaangażowania organizacji pozarządowych w lokalne sprawy;</w:t>
      </w:r>
    </w:p>
    <w:p>
      <w:pPr>
        <w:pStyle w:val="ListParagraph"/>
        <w:numPr>
          <w:ilvl w:val="0"/>
          <w:numId w:val="10"/>
        </w:numPr>
        <w:suppressAutoHyphens w:val="false"/>
        <w:rPr/>
      </w:pPr>
      <w:r>
        <w:rPr/>
        <w:t>położenie (bliskość drogi ekspresowej S3);</w:t>
      </w:r>
    </w:p>
    <w:p>
      <w:pPr>
        <w:pStyle w:val="ListParagraph"/>
        <w:numPr>
          <w:ilvl w:val="0"/>
          <w:numId w:val="10"/>
        </w:numPr>
        <w:suppressAutoHyphens w:val="false"/>
        <w:rPr/>
      </w:pPr>
      <w:r>
        <w:rPr/>
        <w:t>wysoki poziom bezpieczeństwa, spokój;</w:t>
      </w:r>
    </w:p>
    <w:p>
      <w:pPr>
        <w:pStyle w:val="ListParagraph"/>
        <w:numPr>
          <w:ilvl w:val="0"/>
          <w:numId w:val="10"/>
        </w:numPr>
        <w:suppressAutoHyphens w:val="false"/>
        <w:rPr/>
      </w:pPr>
      <w:r>
        <w:rPr/>
        <w:t>dobrze utrzymana i zorganizowana infrastruktura sportowa;</w:t>
      </w:r>
    </w:p>
    <w:p>
      <w:pPr>
        <w:pStyle w:val="ListParagraph"/>
        <w:numPr>
          <w:ilvl w:val="0"/>
          <w:numId w:val="10"/>
        </w:numPr>
        <w:suppressAutoHyphens w:val="false"/>
        <w:rPr/>
      </w:pPr>
      <w:r>
        <w:rPr/>
        <w:t>bogate dziedzictwo historyczne i kulturowe, unikalna w skali kraju tkanka zabytkowa;</w:t>
      </w:r>
    </w:p>
    <w:p>
      <w:pPr>
        <w:pStyle w:val="ListParagraph"/>
        <w:numPr>
          <w:ilvl w:val="0"/>
          <w:numId w:val="10"/>
        </w:numPr>
        <w:suppressAutoHyphens w:val="false"/>
        <w:rPr/>
      </w:pPr>
      <w:r>
        <w:rPr/>
        <w:t>bogate walory przyrodnicze na obszarze rewitalizacji;</w:t>
      </w:r>
    </w:p>
    <w:p>
      <w:pPr>
        <w:pStyle w:val="ListParagraph"/>
        <w:numPr>
          <w:ilvl w:val="0"/>
          <w:numId w:val="10"/>
        </w:numPr>
        <w:suppressAutoHyphens w:val="false"/>
        <w:rPr/>
      </w:pPr>
      <w:r>
        <w:rPr/>
        <w:t xml:space="preserve">szansa na zbudowanie wokół Nowego Miasteczka marki turystycznej przy wykorzystaniu wymienionych wyżej potencjałów związanych z położeniem, dziedzictwem historycznym i kulturowym oraz przyrodą; </w:t>
      </w:r>
    </w:p>
    <w:p>
      <w:pPr>
        <w:pStyle w:val="ListParagraph"/>
        <w:numPr>
          <w:ilvl w:val="0"/>
          <w:numId w:val="10"/>
        </w:numPr>
        <w:suppressAutoHyphens w:val="false"/>
        <w:rPr/>
      </w:pPr>
      <w:r>
        <w:rPr/>
        <w:t>możliwość przystosowania dawnych zakładów ZEFAM do nowych funkcji społecznych, gospodarczych, kulturalnych bądź turystycznych.</w:t>
      </w:r>
    </w:p>
    <w:p>
      <w:pPr>
        <w:pStyle w:val="Normal"/>
        <w:rPr>
          <w:rFonts w:cs="Arial"/>
        </w:rPr>
      </w:pPr>
      <w:r>
        <w:rPr>
          <w:rFonts w:cs="Arial"/>
        </w:rPr>
        <w:t xml:space="preserve">Jak wynika z powyższego opisu, na obszarze rewitalizacji dochodzi do wzajemnego przenikania występujących tam problemów, potrzeb i potencjałów. Ma to związek m.in. z faktem, że opisywane deficyty i szanse rozwojowe dotyczą zarówno mieszkańców, rodzin, przedsiębiorców, a także instytucji funkcjonujących na co dzień w tej samej przestrzeni. </w:t>
      </w:r>
    </w:p>
    <w:p>
      <w:pPr>
        <w:pStyle w:val="Normal"/>
        <w:rPr>
          <w:rFonts w:cs="Arial"/>
        </w:rPr>
      </w:pPr>
      <w:r>
        <w:rPr>
          <w:rFonts w:cs="Arial"/>
        </w:rPr>
        <w:t>Z miejskiej infrastruktury i przestrzeni publicznych (budynków użyteczności publicznej, w tym obiektów szkolnych, budynków mieszkalnych, parków i skwerów, dróg, ścieżek i chodników) korzystają m.in. rodzice z dziećmi, młodzież, seniorzy i osoby z niepełnosprawnościami. Często są to równocześnie osoby korzystające z usług lokalnych przedsiębiorców. Standardy realizacji infrastruktury i sposób projektowania przestrzeni mają także wpływ na środowisko, np. poprzez wykorzystywanie określonych źródeł ciepła w budynkach mieszkalnych lub stosowanie rozwiązań opartych o przyrodę.</w:t>
      </w:r>
    </w:p>
    <w:p>
      <w:pPr>
        <w:pStyle w:val="Normal"/>
        <w:rPr>
          <w:rFonts w:cs="Arial"/>
        </w:rPr>
      </w:pPr>
      <w:r>
        <w:rPr>
          <w:rFonts w:cs="Arial"/>
        </w:rPr>
        <w:t>Poszczególne problemy zdiagnozowane na obszarze rewitalizacji przenikają się między sobą lub wzajemnie na siebie wpływają, niezależnie od sfery, której dotyczą. Przykładowo: degradacja Rynku w Nowym Miasteczku (sfera techniczna) zniechęca przedsiębiorców do zakładania działalności w tym miejscu, np. lokalu gastronomicznego (sfera gospodarcza), co odbiera mieszkańcom szansę na zyskanie dogodnego miejsca wzajemnej integracji (sfera społeczna). Poprawa stanu zagospodarowania różnych elementów przestrzeni na obu częściach obszaru rewitalizacji jest zatem szansą na rozwiązywanie problemów społecznych.</w:t>
      </w:r>
    </w:p>
    <w:p>
      <w:pPr>
        <w:pStyle w:val="Heading1"/>
        <w:rPr/>
      </w:pPr>
      <w:bookmarkStart w:id="49" w:name="_Toc216991162"/>
      <w:r>
        <w:rPr/>
        <w:t>3. SPOSÓB REALIZACJI DOKUMENTÓW STRATEGICZNYCH GMINY</w:t>
      </w:r>
      <w:bookmarkEnd w:id="49"/>
    </w:p>
    <w:p>
      <w:pPr>
        <w:pStyle w:val="Heading2"/>
        <w:rPr/>
      </w:pPr>
      <w:bookmarkStart w:id="50" w:name="_Toc216991163"/>
      <w:r>
        <w:rPr/>
        <w:t>3.1. Strategia Rozwoju Gminy Nowe Miasteczko</w:t>
      </w:r>
      <w:bookmarkEnd w:id="50"/>
      <w:r>
        <w:rPr/>
        <w:t xml:space="preserve"> </w:t>
      </w:r>
    </w:p>
    <w:p>
      <w:pPr>
        <w:pStyle w:val="Normal"/>
        <w:rPr/>
      </w:pPr>
      <w:r>
        <w:rPr/>
        <w:t xml:space="preserve">W trakcie opracowywania Gminnego Programu Rewitalizacji Gminy Nowe Miasteczko do roku 2035 nie trwały jeszcze prace nad Strategią Rozwoju Gminy Nowe Miasteczko. Z uwagi na fakt, iż władze Gminy przyjęły wdrażanie procesów rewitalizacyjnych za jeden z kluczowych obszarów działania na następne lata, naturalnym będzie ujęcie w przyszłej Strategii celów i działań dotyczących rewitalizacji, spójnych z treścią GPR. </w:t>
      </w:r>
    </w:p>
    <w:p>
      <w:pPr>
        <w:pStyle w:val="Heading2"/>
        <w:rPr/>
      </w:pPr>
      <w:bookmarkStart w:id="51" w:name="_Toc216991164"/>
      <w:r>
        <w:rPr/>
        <w:t>3.2. Lubuska 9</w:t>
      </w:r>
      <w:bookmarkEnd w:id="51"/>
      <w:r>
        <w:rPr/>
        <w:t xml:space="preserve"> </w:t>
      </w:r>
    </w:p>
    <w:p>
      <w:pPr>
        <w:pStyle w:val="Normal"/>
        <w:rPr/>
      </w:pPr>
      <w:r>
        <w:rPr/>
        <w:t>Gmina Nowe Miasteczko jest jednym z członków Partnerstwa Gmin Lubuska 9, dla którego została opracowana Strategia IIT, przyjęta przez Lidera Partnerstwa 5 grudnia 2024 r. Oprócz Gminy Nowe Miasteczko w skład Partnerstwa wchodzą gminy: Kożuchów, Kolsko, Sława, Wschowa, Nowa Sól, Bytom Odrzański, Szlichtyngowa i Siedlisko. Misją Partnerstwa jest pogłębianie integracji samorządów na rzecz współpracy w zakresie planowania i realizacji polityk rozwoju, zmierzających do pełnego zagospodarowania posiadanych zasobów oraz efektywnego pozyskiwania i wykorzystywania instrumentów i środków służących zrównoważonemu rozwojowi obszaru. Przedsięwzięcia ujęte w GPR w szczególny sposób wpisują się w cel strategiczny II Partnerstwa, tj. Aktywne, świadome i zaangażowane w rozwój lokalny społeczeństwo, posiadające dostęp do wysokiej jakość usług publicznych, świadczonych na rzecz wszystkich grup mieszkańców.</w:t>
      </w:r>
    </w:p>
    <w:p>
      <w:pPr>
        <w:pStyle w:val="Heading2"/>
        <w:rPr/>
      </w:pPr>
      <w:bookmarkStart w:id="52" w:name="_Toc216991165"/>
      <w:r>
        <w:rPr/>
        <w:t>3.3. Strategia Rozwiązywania Problemów Społecznych w Gminie Nowe Miasteczko na lata 2021-2026</w:t>
      </w:r>
      <w:bookmarkEnd w:id="52"/>
    </w:p>
    <w:p>
      <w:pPr>
        <w:pStyle w:val="Normal"/>
        <w:spacing w:before="160" w:after="160"/>
        <w:rPr/>
      </w:pPr>
      <w:r>
        <w:rPr>
          <w:i/>
          <w:iCs/>
        </w:rPr>
        <w:t>Strategia Rozwiązywania Problemów Społecznych w Gminie Nowe Miasteczko na lata 2021-2026</w:t>
      </w:r>
      <w:r>
        <w:rPr/>
        <w:t xml:space="preserve"> (dalej: SRPS) została przyjęta na mocy uchwały nr XXV/156/2020 Rady Miejskiej w Nowym Miasteczku z dnia 30 grudnia 2020 r. Opracowana na potrzeby tego dokumentu diagnoza wykazała występowanie na terenie Gminy Nowe Miasteczko takich problemów jak ubóstwo, bezrobocie, bezradność w sprawach opiekuńczo-wychowawczych i prowadzenia gospodarstwa domowego, długotrwała lub ciężka choroba, a także wykluczenie społeczne i wycofanie z życia społecznego, które dotykają osób starszych i osób z niepełnosprawnościami.</w:t>
      </w:r>
    </w:p>
    <w:p>
      <w:pPr>
        <w:pStyle w:val="Normal"/>
        <w:rPr/>
      </w:pPr>
      <w:r>
        <w:rPr/>
        <w:t xml:space="preserve">Misją SRPS jest rozszerzenie i pogłębienie form pracy socjalnej, współpraca z różnymi instytucjami i organizacjami pozarządowymi zajmującymi się pomocą społeczną w gminie oraz instytucjami działającym w szerszym obszarze polityki społecznej jak: edukacja, ochrona zdrowia, bezpieczeństwo publiczne, pomoc osobom z niepełnosprawnościami, zapobieganie wykluczeniu społecznemu. Diagnoza i cele GPR są spójne z tak sformułowaną misją, jak również określonymi w SRPS celami strategicznymi i operacyjnymi. Jako przykłady można wskazać brzmienie celów SRPS, które koncentrują się na takich </w:t>
      </w:r>
      <w:r>
        <w:rPr>
          <w:rFonts w:cs="Arial"/>
        </w:rPr>
        <w:t>zagadnieniach jak wspieranie rodzin, w tym z problemami opiekuńczo-wychowawczymi, zwłaszcza rodzin niepełnych oraz wielodzietnych (cel strategiczny nr 3 SRPS)</w:t>
      </w:r>
      <w:r>
        <w:rPr/>
        <w:t xml:space="preserve"> czy </w:t>
      </w:r>
      <w:r>
        <w:rPr>
          <w:rFonts w:cs="Arial"/>
        </w:rPr>
        <w:t>wspieranie osób starszych i niepełnosprawnych (cel operacyjny nr 5 SRPS)</w:t>
      </w:r>
      <w:r>
        <w:rPr/>
        <w:t xml:space="preserve">. </w:t>
      </w:r>
    </w:p>
    <w:p>
      <w:pPr>
        <w:pStyle w:val="Normal"/>
        <w:rPr/>
      </w:pPr>
      <w:r>
        <w:rPr/>
        <w:t>Przedsięwzięcia rewitalizacyjne w istotny sposób pomogą także w osiąganiu rezultatów określonych w SRPS, takich jak np.: poprawa bezpieczeństwa socjalnego obywateli, wzmocnienie pozycji rodziny w społeczności lokalnej czy dogodne warunki rozwoju dzieci i młodzieży.</w:t>
      </w:r>
    </w:p>
    <w:p>
      <w:pPr>
        <w:pStyle w:val="Normal"/>
        <w:rPr/>
      </w:pPr>
      <w:r>
        <w:rPr/>
        <w:t>Analizując powiązania między SRPS a GPR, należy mieć również na uwadze, że obszar zdegradowany i obszar rewitalizacji wyznaczone na potrzeby GPR, są z natury rzeczy obszarami o większym niż średnia gminna natężeniu problemów w sferze społecznej. Wdrażanie GPR i realizacja celów rewitalizacji będzie zatem równocześnie rozwiązywaniem części problemów określonych w SRPS. Ponadto, na obszarze rewitalizacji należy założyć zwiększenie efektywności działań społecznych, wynikające z jednoczesnej realizacji szerokiego zestawu przedsięwzięć rewitalizacyjnych w ciągu najbliższych lat.</w:t>
      </w:r>
    </w:p>
    <w:p>
      <w:pPr>
        <w:pStyle w:val="Heading2"/>
        <w:rPr/>
      </w:pPr>
      <w:bookmarkStart w:id="53" w:name="_Toc216991166"/>
      <w:r>
        <w:rPr/>
        <w:t>3.4. Gminny Program Wspierania Rodziny na lata 2024-2026 w Gminie Nowe Miasteczko</w:t>
      </w:r>
      <w:bookmarkEnd w:id="53"/>
    </w:p>
    <w:p>
      <w:pPr>
        <w:pStyle w:val="Normal"/>
        <w:rPr/>
      </w:pPr>
      <w:r>
        <w:rPr/>
        <w:t>Dokumentem, który wspiera realizację Strategii Rozwiązywania Problemów Społecznych w Gminie Nowe Miasteczko na lata 2021-2026, jest Gminny Program Wspierania Rodziny na lata 2024-2026 w Gminie Nowe Miasteczko (dalej jako GPWR). Głównym celem GPWR jest wspieranie rodzin z terenu Gminy Nowe Miasteczkom przeżywających trudności w wypełnianiu funkcji opiekuńczo-wychowawczych. Postanowienia GPR są spójne z treścią obowiązującego GPWR, ponieważ dostrzeżono w nich potrzebę prowadzenia kompleksowych działań adresowanych do osób zagrożonych wykluczeniem społecznym. Wśród przedsięwzięć rewitalizacyjnych zaplanowano działania w zakresie włączenia społecznego takich osób. Tym samym GPR wpisuje się w takie cele szczegółowe GPWR jak: wspieranie rodzin przejawiających problemy opiekuńczo-wychowawcze służące przywróceniu jej zdolności do prawidłowego wykonywania funkcji czy zapewnienie dostępności w zakresie opieki i poradnictwa specjalistycznego.</w:t>
      </w:r>
    </w:p>
    <w:p>
      <w:pPr>
        <w:pStyle w:val="Heading2"/>
        <w:rPr/>
      </w:pPr>
      <w:bookmarkStart w:id="54" w:name="_Toc216991167"/>
      <w:r>
        <w:rPr/>
        <w:t>3.5. Roczne programy współpracy z organizacjami pozarządowymi</w:t>
      </w:r>
      <w:bookmarkEnd w:id="54"/>
    </w:p>
    <w:p>
      <w:pPr>
        <w:pStyle w:val="Normal"/>
        <w:rPr/>
      </w:pPr>
      <w:r>
        <w:rPr/>
        <w:t>Ramy do budowania partnerskich relacji samorządu lokalnego z organizacjami pozarządowymi w Gminie Nowe Miasteczko od lat wyznaczają roczne programy współpracy. Działające w gminie organizacje pozarządowe wykazują się dużym potencjałem i zaangażowaniem ich członków, z drugiej strony niekiedy muszą się one mierzyć z trudnościami lokalowymi czy finansowymi. Tym bardziej wspieranie potencjału organizacji pozarządowych ma istotne znaczenie w kontekście realizacji przedsięwzięć rewitalizacyjnych wynikających z GPR. W toku wdrażania GPR coroczny program współpracy gminy z organizacjami pozarządowymi będzie nabierał większego niż dotychczas znaczenia, ponieważ jednym z celów szczegółowych GPR jest wspieranie integracji i aktywności różnych grup mieszkańców.</w:t>
      </w:r>
    </w:p>
    <w:p>
      <w:pPr>
        <w:pStyle w:val="Normal"/>
        <w:rPr/>
      </w:pPr>
      <w:r>
        <w:rPr/>
        <w:t>W „Programie współpracy na 2026 rok Gminy Nowe Miasteczko z organizacjami pozarządowymi oraz podmiotami prowadzącymi działalność pożytku publicznego, o których mowa w art. 3 ust. 3 ustawy z dnia 24 kwietnia 2003 r. o działalności pożytku publicznego i o wolontariacie” za priorytetowe obszary współpracy Gminy Nowe Miasteczko i organizacji pozarządowych uznano m.in.: pomoc społeczną, kulturę, sztukę, ochronę dóbr kultury i dziedzictwa narodowego, upowszechnianie kultury fizycznej i rekreacji czy ochronę przyrody i ekologię. Realizacja przedsięwzięć rewitalizacyjnych w powyższych sferach korzystnie wpłynie na osiąganie celów rocznych programów współpracy gminy z organizacjami pozarządowymi, m.in. poprzez wzmacnianie potencjału tutejszych organizacji i zwiększanie aktywności społecznej w rozwiązywaniu problemów lokalnych.</w:t>
      </w:r>
    </w:p>
    <w:p>
      <w:pPr>
        <w:pStyle w:val="Heading1"/>
        <w:rPr/>
      </w:pPr>
      <w:bookmarkStart w:id="55" w:name="_Toc216991168"/>
      <w:r>
        <w:rPr/>
        <w:t>4. OPIS WIZJI STANU OBSZARU REWITALIZACJI PO PRZEPROWADZENIU DZIAŁAŃ W ZAKRESIE REWITALIZACJI</w:t>
      </w:r>
      <w:bookmarkEnd w:id="55"/>
    </w:p>
    <w:p>
      <w:pPr>
        <w:pStyle w:val="Normal"/>
        <w:pBdr>
          <w:top w:val="single" w:sz="4" w:space="1" w:color="0070C0"/>
          <w:left w:val="single" w:sz="4" w:space="4" w:color="0070C0"/>
          <w:bottom w:val="single" w:sz="4" w:space="1" w:color="0070C0"/>
          <w:right w:val="single" w:sz="4" w:space="4" w:color="0070C0"/>
        </w:pBdr>
        <w:rPr>
          <w:rFonts w:ascii="Aptos" w:hAnsi="Aptos"/>
        </w:rPr>
      </w:pPr>
      <w:r>
        <w:rPr/>
        <w:t xml:space="preserve">Obszar rewitalizacji Gminy Nowe Miasteczko po roku 2035 to dogodne miejsce do osiedlania się i życia, a także do podejmowania aktywności związanych z pracą oraz spędzaniem wolnego czasu. Funkcjonalność obszaru rewitalizacji nie kłóci się, a wręcz idzie w parze, z jego zakorzenieniem w lokalnym dziedzictwie i tradycji. </w:t>
      </w:r>
    </w:p>
    <w:p>
      <w:pPr>
        <w:pStyle w:val="Normal"/>
        <w:pBdr>
          <w:top w:val="single" w:sz="4" w:space="1" w:color="0070C0"/>
          <w:left w:val="single" w:sz="4" w:space="4" w:color="0070C0"/>
          <w:bottom w:val="single" w:sz="4" w:space="1" w:color="0070C0"/>
          <w:right w:val="single" w:sz="4" w:space="4" w:color="0070C0"/>
        </w:pBdr>
        <w:rPr/>
      </w:pPr>
      <w:r>
        <w:rPr/>
        <w:t xml:space="preserve">Mieszkańcy obszaru rewitalizacji, żyjący zarówno w Nowym Miasteczku, jak i w Niecieczy, tworzą mocno zintegrowaną społeczność. Lokalne wydarzenia kulturalne i społeczne gromadzą różne grupy mieszkańców, którzy chętnie włączają się w nie jako uczestnicy i współorganizatorzy. Dzięki wspólnemu zaangażowaniu władz, organizacji i mieszkańców do minimum zniwelowane zostało zjawisko wykluczenia społecznego. Z bogatej oferty życia w obszarze rewitalizacji równie chętnie korzystają przedstawiciele wszystkich pokoleń, a także osoby ze szczególnymi potrzebami. Obszar rewitalizacji wyróżnia się wysokim poziomem bezpieczeństwa i estetyki przestrzeni publicznych. </w:t>
      </w:r>
    </w:p>
    <w:p>
      <w:pPr>
        <w:pStyle w:val="Normal"/>
        <w:pBdr>
          <w:top w:val="single" w:sz="4" w:space="1" w:color="0070C0"/>
          <w:left w:val="single" w:sz="4" w:space="4" w:color="0070C0"/>
          <w:bottom w:val="single" w:sz="4" w:space="1" w:color="0070C0"/>
          <w:right w:val="single" w:sz="4" w:space="4" w:color="0070C0"/>
        </w:pBdr>
        <w:rPr/>
      </w:pPr>
      <w:r>
        <w:rPr/>
        <w:t xml:space="preserve">Stan powietrza w obszarze rewitalizacji uległ znaczącej poprawie dzięki zrealizowanym działaniom ekologicznym. Mieszkańcy mogą korzystać z funkcjonalnej infrastruktury publicznej, która spełnia wszelkie wymogi dostępności dla osób ze szczególnymi potrzebami. Uporządkowane tereny zielone zachęcają do spacerów, a odrestaurowane zabytki są powodem do poczucia lokalnej dumy i tożsamości. </w:t>
      </w:r>
    </w:p>
    <w:p>
      <w:pPr>
        <w:pStyle w:val="Normal"/>
        <w:pBdr>
          <w:top w:val="single" w:sz="4" w:space="1" w:color="0070C0"/>
          <w:left w:val="single" w:sz="4" w:space="4" w:color="0070C0"/>
          <w:bottom w:val="single" w:sz="4" w:space="1" w:color="0070C0"/>
          <w:right w:val="single" w:sz="4" w:space="4" w:color="0070C0"/>
        </w:pBdr>
        <w:rPr>
          <w:rFonts w:ascii="Aptos" w:hAnsi="Aptos"/>
        </w:rPr>
      </w:pPr>
      <w:r>
        <w:rPr/>
        <w:t>Lokalne tradycje i dziedzictwo historyczne czy kulinarne stało się istotne dla mieszkańców obszaru rewitalizacji. Dzięki uczestnictwu w rozmaitych projektach zbudowali oni więź ze swoim miejscem zamieszkania i pragną przekazywać ją następnym pokoleniom.</w:t>
      </w:r>
    </w:p>
    <w:p>
      <w:pPr>
        <w:pStyle w:val="Normal"/>
        <w:pBdr>
          <w:top w:val="single" w:sz="4" w:space="1" w:color="0070C0"/>
          <w:left w:val="single" w:sz="4" w:space="4" w:color="0070C0"/>
          <w:bottom w:val="single" w:sz="4" w:space="1" w:color="0070C0"/>
          <w:right w:val="single" w:sz="4" w:space="4" w:color="0070C0"/>
        </w:pBdr>
        <w:rPr/>
      </w:pPr>
      <w:r>
        <w:rPr/>
        <w:t>Obszar rewitalizacji rozwinął się pod względem gospodarczym, oferując mieszkańcom szeroką paletę usług handlowych, rzemieślniczych i gastronomicznych. Rynek w Nowym Miasteczku stał się gospodarczym, społecznym i kulturalnym centrum obszaru rewitalizacji i całej gminy.</w:t>
      </w:r>
    </w:p>
    <w:p>
      <w:pPr>
        <w:pStyle w:val="Normal"/>
        <w:pBdr>
          <w:top w:val="single" w:sz="4" w:space="1" w:color="0070C0"/>
          <w:left w:val="single" w:sz="4" w:space="4" w:color="0070C0"/>
          <w:bottom w:val="single" w:sz="4" w:space="1" w:color="0070C0"/>
          <w:right w:val="single" w:sz="4" w:space="4" w:color="0070C0"/>
        </w:pBdr>
        <w:rPr/>
      </w:pPr>
      <w:r>
        <w:rPr/>
        <w:t>Obszar rewitalizacji w Nowym Miasteczku doceniają również liczni przyjezdni, zwracając uwagę na jego  bogatą historię, nienagannie utrzymane tereny zielone oraz atrakcyjną ofertę kulturalną.</w:t>
      </w:r>
    </w:p>
    <w:p>
      <w:pPr>
        <w:pStyle w:val="Normal"/>
        <w:rPr/>
      </w:pPr>
      <w:r>
        <w:rPr/>
      </w:r>
      <w:r>
        <w:br w:type="page"/>
      </w:r>
    </w:p>
    <w:p>
      <w:pPr>
        <w:pStyle w:val="Heading1"/>
        <w:spacing w:before="0" w:after="80"/>
        <w:rPr/>
      </w:pPr>
      <w:bookmarkStart w:id="56" w:name="_Toc216991169"/>
      <w:r>
        <w:rPr/>
        <w:t>5. CELE REWITALIZACJI ORAZ ODPOWIADAJĄCE IM KIERUNKI DZIAŁAŃ SŁUŻĄCYCH ELIMINACJI LUB OGRANICZENIU NEGATYWNYCH ZJAWISK</w:t>
      </w:r>
      <w:bookmarkEnd w:id="56"/>
    </w:p>
    <w:p>
      <w:pPr>
        <w:pStyle w:val="Normal"/>
        <w:rPr/>
      </w:pPr>
      <w:r>
        <w:rPr/>
      </w:r>
    </w:p>
    <w:p>
      <w:pPr>
        <w:pStyle w:val="Heading2"/>
        <w:rPr/>
      </w:pPr>
      <w:bookmarkStart w:id="57" w:name="_Toc216991170"/>
      <w:r>
        <w:rPr/>
        <w:t>5.1 Cele rewitalizacji</w:t>
      </w:r>
      <w:bookmarkEnd w:id="57"/>
    </w:p>
    <w:p>
      <w:pPr>
        <w:pStyle w:val="Normal"/>
        <w:spacing w:lineRule="auto" w:line="240" w:before="120" w:after="120"/>
        <w:jc w:val="center"/>
        <w:rPr>
          <w:rFonts w:cs="Arial"/>
          <w:b/>
          <w:bCs/>
          <w:sz w:val="28"/>
          <w:szCs w:val="28"/>
        </w:rPr>
      </w:pPr>
      <w:r>
        <w:rPr>
          <w:rFonts w:cs="Arial"/>
          <w:b/>
          <w:bCs/>
          <w:sz w:val="28"/>
          <w:szCs w:val="28"/>
        </w:rPr>
        <w:t>Cel główny GPR:</w:t>
      </w:r>
    </w:p>
    <w:p>
      <w:pPr>
        <w:pStyle w:val="Normal"/>
        <w:pBdr>
          <w:top w:val="single" w:sz="4" w:space="1" w:color="000000"/>
          <w:left w:val="single" w:sz="4" w:space="4" w:color="000000"/>
          <w:bottom w:val="single" w:sz="4" w:space="1" w:color="000000"/>
          <w:right w:val="single" w:sz="4" w:space="4" w:color="000000"/>
        </w:pBdr>
        <w:spacing w:lineRule="auto" w:line="240" w:before="120" w:after="120"/>
        <w:jc w:val="center"/>
        <w:rPr>
          <w:rFonts w:cs="Arial"/>
          <w:b/>
          <w:bCs/>
          <w:color w:val="0070C0"/>
          <w:sz w:val="24"/>
          <w:szCs w:val="24"/>
        </w:rPr>
      </w:pPr>
      <w:r>
        <w:rPr>
          <w:rFonts w:cs="Arial"/>
          <w:b/>
          <w:bCs/>
          <w:color w:val="0070C0"/>
          <w:sz w:val="24"/>
          <w:szCs w:val="24"/>
        </w:rPr>
      </w:r>
    </w:p>
    <w:p>
      <w:pPr>
        <w:pStyle w:val="Normal"/>
        <w:pBdr>
          <w:top w:val="single" w:sz="4" w:space="1" w:color="000000"/>
          <w:left w:val="single" w:sz="4" w:space="4" w:color="000000"/>
          <w:bottom w:val="single" w:sz="4" w:space="1" w:color="000000"/>
          <w:right w:val="single" w:sz="4" w:space="4" w:color="000000"/>
        </w:pBdr>
        <w:spacing w:lineRule="auto" w:line="240" w:before="120" w:after="120"/>
        <w:jc w:val="center"/>
        <w:rPr>
          <w:rFonts w:cs="Arial"/>
          <w:b/>
          <w:bCs/>
          <w:color w:val="0070C0"/>
          <w:sz w:val="24"/>
          <w:szCs w:val="24"/>
        </w:rPr>
      </w:pPr>
      <w:r>
        <w:rPr>
          <w:rFonts w:cs="Arial"/>
          <w:b/>
          <w:bCs/>
          <w:color w:val="0070C0"/>
          <w:sz w:val="24"/>
          <w:szCs w:val="24"/>
        </w:rPr>
        <w:t>Obszar rewitalizacji w Gminie Nowe Miasteczko funkcjonalnym, estetycznym i zielonym miejscem przyjaznym do życia i aktywności dla wszystkich grup mieszkańców.</w:t>
      </w:r>
    </w:p>
    <w:p>
      <w:pPr>
        <w:pStyle w:val="Normal"/>
        <w:pBdr>
          <w:top w:val="single" w:sz="4" w:space="1" w:color="000000"/>
          <w:left w:val="single" w:sz="4" w:space="4" w:color="000000"/>
          <w:bottom w:val="single" w:sz="4" w:space="1" w:color="000000"/>
          <w:right w:val="single" w:sz="4" w:space="4" w:color="000000"/>
        </w:pBdr>
        <w:spacing w:lineRule="auto" w:line="240" w:before="120" w:after="120"/>
        <w:jc w:val="center"/>
        <w:rPr>
          <w:rFonts w:cs="Arial"/>
          <w:b/>
          <w:bCs/>
          <w:color w:val="0070C0"/>
          <w:sz w:val="24"/>
          <w:szCs w:val="24"/>
        </w:rPr>
      </w:pPr>
      <w:r>
        <w:rPr>
          <w:rFonts w:cs="Arial"/>
          <w:b/>
          <w:bCs/>
          <w:color w:val="0070C0"/>
          <w:sz w:val="24"/>
          <w:szCs w:val="24"/>
        </w:rPr>
      </w:r>
    </w:p>
    <w:p>
      <w:pPr>
        <w:pStyle w:val="Normal"/>
        <w:spacing w:lineRule="auto" w:line="240" w:before="120" w:after="120"/>
        <w:jc w:val="center"/>
        <w:rPr>
          <w:rFonts w:cs="Arial"/>
          <w:b/>
          <w:bCs/>
          <w:color w:val="C00000"/>
          <w:sz w:val="24"/>
          <w:szCs w:val="24"/>
        </w:rPr>
      </w:pPr>
      <w:r>
        <w:rPr>
          <w:rFonts w:cs="Arial"/>
          <w:b/>
          <w:bCs/>
          <w:color w:val="C00000"/>
          <w:sz w:val="24"/>
          <w:szCs w:val="24"/>
        </w:rPr>
      </w:r>
    </w:p>
    <w:p>
      <w:pPr>
        <w:pStyle w:val="Normal"/>
        <w:spacing w:lineRule="auto" w:line="240" w:before="120" w:after="120"/>
        <w:jc w:val="center"/>
        <w:rPr>
          <w:rFonts w:cs="Arial"/>
          <w:b/>
          <w:bCs/>
          <w:sz w:val="28"/>
          <w:szCs w:val="28"/>
        </w:rPr>
      </w:pPr>
      <w:r>
        <w:rPr>
          <w:rFonts w:cs="Arial"/>
          <w:b/>
          <w:bCs/>
          <w:sz w:val="28"/>
          <w:szCs w:val="28"/>
        </w:rPr>
        <w:t>Cele szczegółowe:</w:t>
      </w:r>
    </w:p>
    <w:p>
      <w:pPr>
        <w:pStyle w:val="Normal"/>
        <w:numPr>
          <w:ilvl w:val="0"/>
          <w:numId w:val="5"/>
        </w:numPr>
        <w:pBdr>
          <w:top w:val="single" w:sz="4" w:space="1" w:color="000000"/>
          <w:left w:val="single" w:sz="4" w:space="4" w:color="000000"/>
          <w:bottom w:val="single" w:sz="4" w:space="1" w:color="000000"/>
          <w:right w:val="single" w:sz="4" w:space="4" w:color="000000"/>
        </w:pBdr>
        <w:spacing w:lineRule="auto" w:line="240" w:before="120" w:after="120"/>
        <w:rPr>
          <w:rFonts w:cs="Arial"/>
          <w:b/>
          <w:bCs/>
          <w:color w:val="0070C0"/>
        </w:rPr>
      </w:pPr>
      <w:r>
        <w:rPr>
          <w:rFonts w:cs="Arial"/>
          <w:b/>
          <w:bCs/>
          <w:color w:val="0070C0"/>
        </w:rPr>
        <w:t>Wspieranie integracji i aktywności różnych grup mieszkańców oraz szerokie włączenie społeczne na obszarze rewitalizacji</w:t>
      </w:r>
    </w:p>
    <w:p>
      <w:pPr>
        <w:pStyle w:val="Normal"/>
        <w:numPr>
          <w:ilvl w:val="0"/>
          <w:numId w:val="5"/>
        </w:numPr>
        <w:pBdr>
          <w:top w:val="single" w:sz="4" w:space="1" w:color="000000"/>
          <w:left w:val="single" w:sz="4" w:space="4" w:color="000000"/>
          <w:bottom w:val="single" w:sz="4" w:space="1" w:color="000000"/>
          <w:right w:val="single" w:sz="4" w:space="4" w:color="000000"/>
        </w:pBdr>
        <w:spacing w:lineRule="auto" w:line="240" w:before="120" w:after="120"/>
        <w:rPr/>
      </w:pPr>
      <w:r>
        <w:rPr>
          <w:rFonts w:cs="Arial"/>
          <w:b/>
          <w:bCs/>
          <w:color w:val="0070C0"/>
        </w:rPr>
        <w:t>Rozwój systemu przestrzeni publicznych przyjaznego ludziom i środowisku na obszarze rewitalizacji</w:t>
      </w:r>
    </w:p>
    <w:p>
      <w:pPr>
        <w:pStyle w:val="Normal"/>
        <w:numPr>
          <w:ilvl w:val="0"/>
          <w:numId w:val="5"/>
        </w:numPr>
        <w:pBdr>
          <w:top w:val="single" w:sz="4" w:space="1" w:color="000000"/>
          <w:left w:val="single" w:sz="4" w:space="4" w:color="000000"/>
          <w:bottom w:val="single" w:sz="4" w:space="1" w:color="000000"/>
          <w:right w:val="single" w:sz="4" w:space="4" w:color="000000"/>
        </w:pBdr>
        <w:spacing w:lineRule="auto" w:line="240" w:before="120" w:after="120"/>
        <w:rPr/>
      </w:pPr>
      <w:r>
        <w:rPr>
          <w:rFonts w:cs="Arial"/>
          <w:b/>
          <w:bCs/>
          <w:color w:val="0070C0"/>
        </w:rPr>
        <w:t>Budowanie więzi mieszkańców z obszarem rewitalizacji poprzez jego estetyzację oraz podkreślanie tożsamości opartej na dziedzictwie i kulturze</w:t>
      </w:r>
    </w:p>
    <w:p>
      <w:pPr>
        <w:pStyle w:val="Heading2"/>
        <w:rPr/>
      </w:pPr>
      <w:bookmarkStart w:id="58" w:name="_Toc216991171"/>
      <w:r>
        <w:rPr/>
        <w:t>5.2 Kierunki działań</w:t>
      </w:r>
      <w:bookmarkEnd w:id="58"/>
    </w:p>
    <w:p>
      <w:pPr>
        <w:pStyle w:val="Normal"/>
        <w:spacing w:lineRule="auto" w:line="240" w:before="120" w:after="120"/>
        <w:ind w:start="720"/>
        <w:contextualSpacing/>
        <w:rPr>
          <w:rFonts w:cs="Arial"/>
          <w:b/>
          <w:bCs/>
          <w:color w:val="0070C0"/>
        </w:rPr>
      </w:pPr>
      <w:r>
        <w:rPr>
          <w:rFonts w:cs="Arial"/>
          <w:b/>
          <w:bCs/>
          <w:color w:val="0070C0"/>
        </w:rPr>
      </w:r>
    </w:p>
    <w:p>
      <w:pPr>
        <w:pStyle w:val="Normal"/>
        <w:pBdr>
          <w:top w:val="single" w:sz="4" w:space="1" w:color="000000"/>
          <w:left w:val="single" w:sz="4" w:space="4" w:color="000000"/>
          <w:bottom w:val="single" w:sz="4" w:space="1" w:color="000000"/>
          <w:right w:val="single" w:sz="4" w:space="4" w:color="000000"/>
        </w:pBdr>
        <w:spacing w:lineRule="auto" w:line="240" w:before="120" w:after="120"/>
        <w:jc w:val="center"/>
        <w:rPr>
          <w:rFonts w:cs="Arial"/>
          <w:b/>
          <w:bCs/>
        </w:rPr>
      </w:pPr>
      <w:r>
        <w:rPr>
          <w:rFonts w:cs="Arial"/>
          <w:b/>
          <w:bCs/>
        </w:rPr>
        <w:t>Kierunki działań i przykładowe/ proponowane przedsięwzięcia (projekty) rewitalizacyjne</w:t>
      </w:r>
    </w:p>
    <w:p>
      <w:pPr>
        <w:pStyle w:val="Normal"/>
        <w:spacing w:lineRule="auto" w:line="240" w:before="120" w:after="120"/>
        <w:ind w:start="360"/>
        <w:rPr>
          <w:rFonts w:cs="Arial"/>
          <w:b/>
          <w:bCs/>
          <w:color w:val="0070C0"/>
        </w:rPr>
      </w:pPr>
      <w:r>
        <w:rPr>
          <w:rFonts w:cs="Arial"/>
          <w:b/>
          <w:bCs/>
          <w:color w:val="0070C0"/>
        </w:rPr>
      </w:r>
    </w:p>
    <w:p>
      <w:pPr>
        <w:pStyle w:val="Normal"/>
        <w:spacing w:lineRule="auto" w:line="240" w:before="120" w:after="120"/>
        <w:ind w:start="360"/>
        <w:rPr>
          <w:rFonts w:cs="Arial"/>
          <w:b/>
          <w:bCs/>
          <w:color w:val="0070C0"/>
        </w:rPr>
      </w:pPr>
      <w:r>
        <w:rPr>
          <w:rFonts w:cs="Arial"/>
          <w:b/>
          <w:bCs/>
          <w:color w:val="0070C0"/>
        </w:rPr>
        <w:t>Cel 1: Wspieranie integracji i aktywności różnych grup mieszkańców oraz szerokie włączenie społeczne na obszarze rewitalizacji</w:t>
      </w:r>
    </w:p>
    <w:tbl>
      <w:tblPr>
        <w:tblStyle w:val="Zwykatabela11"/>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2732"/>
        <w:gridCol w:w="5363"/>
        <w:gridCol w:w="967"/>
      </w:tblGrid>
      <w:tr>
        <w:trPr>
          <w:cnfStyle w:val="100000000000" w:firstRow="1" w:lastRow="0" w:firstColumn="0" w:lastColumn="0" w:oddVBand="0" w:evenVBand="0" w:oddHBand="0" w:evenHBand="0" w:firstRowFirstColumn="0" w:firstRowLastColumn="0" w:lastRowFirstColumn="0" w:lastRowLastColumn="0"/>
        </w:trPr>
        <w:tc>
          <w:tcPr>
            <w:tcW w:w="2732" w:type="dxa"/>
            <w:cnfStyle w:val="001000000000" w:firstRow="0" w:lastRow="0" w:firstColumn="1" w:lastColumn="0" w:oddVBand="0" w:evenVBand="0" w:oddHBand="0" w:evenHBand="0" w:firstRowFirstColumn="0" w:firstRowLastColumn="0" w:lastRowFirstColumn="0" w:lastRowLastColumn="0"/>
            <w:tcBorders/>
            <w:vAlign w:val="center"/>
          </w:tcPr>
          <w:p>
            <w:pPr>
              <w:pStyle w:val="Normal"/>
              <w:widowControl w:val="false"/>
              <w:suppressAutoHyphens w:val="true"/>
              <w:spacing w:lineRule="auto" w:line="240" w:before="120" w:after="120"/>
              <w:jc w:val="center"/>
              <w:rPr>
                <w:rFonts w:cs="Arial"/>
              </w:rPr>
            </w:pPr>
            <w:r>
              <w:rPr>
                <w:rFonts w:eastAsia="Aptos" w:cs="Arial"/>
                <w:b/>
                <w:bCs/>
                <w:kern w:val="2"/>
                <w:sz w:val="22"/>
                <w:szCs w:val="22"/>
                <w:lang w:val="pl-PL" w:eastAsia="en-US" w:bidi="ar-SA"/>
              </w:rPr>
              <w:t>Kierunek działań</w:t>
            </w:r>
          </w:p>
        </w:tc>
        <w:tc>
          <w:tcPr>
            <w:tcW w:w="5363" w:type="dxa"/>
            <w:tcBorders/>
            <w:vAlign w:val="center"/>
          </w:tcPr>
          <w:p>
            <w:pPr>
              <w:pStyle w:val="Normal"/>
              <w:widowControl w:val="false"/>
              <w:suppressAutoHyphens w:val="true"/>
              <w:spacing w:lineRule="auto" w:line="240" w:before="120" w:after="120"/>
              <w:ind w:start="720"/>
              <w:jc w:val="center"/>
              <w:cnfStyle w:val="100000000000" w:firstRow="1" w:lastRow="0" w:firstColumn="0" w:lastColumn="0" w:oddVBand="0" w:evenVBand="0" w:oddHBand="0" w:evenHBand="0" w:firstRowFirstColumn="0" w:firstRowLastColumn="0" w:lastRowFirstColumn="0" w:lastRowLastColumn="0"/>
              <w:rPr>
                <w:rFonts w:cs="Arial"/>
              </w:rPr>
            </w:pPr>
            <w:r>
              <w:rPr>
                <w:rFonts w:eastAsia="Aptos" w:cs="Arial"/>
                <w:b/>
                <w:bCs/>
                <w:kern w:val="2"/>
                <w:sz w:val="22"/>
                <w:szCs w:val="22"/>
                <w:lang w:val="pl-PL" w:eastAsia="en-US" w:bidi="ar-SA"/>
              </w:rPr>
              <w:t xml:space="preserve">Przykładowe przedsięwzięcia </w:t>
              <w:br/>
              <w:t>(projekty) rewitalizacyjne</w:t>
            </w:r>
          </w:p>
        </w:tc>
        <w:tc>
          <w:tcPr>
            <w:tcW w:w="967" w:type="dxa"/>
            <w:tcBorders/>
            <w:vAlign w:val="center"/>
          </w:tcPr>
          <w:p>
            <w:pPr>
              <w:pStyle w:val="Normal"/>
              <w:widowControl w:val="false"/>
              <w:suppressAutoHyphens w:val="true"/>
              <w:spacing w:lineRule="auto" w:line="240" w:before="120" w:after="120"/>
              <w:jc w:val="center"/>
              <w:cnfStyle w:val="100000000000" w:firstRow="1" w:lastRow="0" w:firstColumn="0" w:lastColumn="0" w:oddVBand="0" w:evenVBand="0" w:oddHBand="0" w:evenHBand="0" w:firstRowFirstColumn="0" w:firstRowLastColumn="0" w:lastRowFirstColumn="0" w:lastRowLastColumn="0"/>
              <w:rPr>
                <w:rFonts w:cs="Arial"/>
              </w:rPr>
            </w:pPr>
            <w:r>
              <w:rPr>
                <w:rFonts w:eastAsia="Aptos" w:cs="Arial"/>
                <w:b/>
                <w:bCs/>
                <w:kern w:val="2"/>
                <w:sz w:val="22"/>
                <w:szCs w:val="22"/>
                <w:lang w:val="pl-PL" w:eastAsia="en-US" w:bidi="ar-SA"/>
              </w:rPr>
              <w:t>P/U</w:t>
            </w:r>
          </w:p>
        </w:tc>
      </w:tr>
      <w:tr>
        <w:trPr>
          <w:cnfStyle w:val="000000100000" w:firstRow="0" w:lastRow="0" w:firstColumn="0" w:lastColumn="0" w:oddVBand="0" w:evenVBand="0" w:oddHBand="1" w:evenHBand="0" w:firstRowFirstColumn="0" w:firstRowLastColumn="0" w:lastRowFirstColumn="0" w:lastRowLastColumn="0"/>
        </w:trPr>
        <w:tc>
          <w:tcPr>
            <w:tcW w:w="2732" w:type="dxa"/>
            <w:cnfStyle w:val="001000000000" w:firstRow="0" w:lastRow="0" w:firstColumn="1" w:lastColumn="0" w:oddVBand="0" w:evenVBand="0" w:oddHBand="0" w:evenHBand="0" w:firstRowFirstColumn="0" w:firstRowLastColumn="0" w:lastRowFirstColumn="0" w:lastRowLastColumn="0"/>
            <w:tcBorders/>
            <w:shd w:color="auto" w:fill="F2F2F2" w:themeFill="background1" w:themeFillShade="f2" w:val="clear"/>
          </w:tcPr>
          <w:p>
            <w:pPr>
              <w:pStyle w:val="Normal"/>
              <w:widowControl w:val="false"/>
              <w:suppressAutoHyphens w:val="true"/>
              <w:spacing w:lineRule="auto" w:line="240" w:before="120" w:after="120"/>
              <w:jc w:val="start"/>
              <w:rPr>
                <w:rFonts w:cs="Arial"/>
              </w:rPr>
            </w:pPr>
            <w:r>
              <w:rPr>
                <w:rFonts w:eastAsia="Aptos" w:cs=""/>
                <w:b/>
                <w:bCs/>
                <w:kern w:val="2"/>
                <w:sz w:val="22"/>
                <w:szCs w:val="22"/>
                <w:lang w:val="pl-PL" w:eastAsia="en-US" w:bidi="ar-SA"/>
              </w:rPr>
              <w:t>Kompleksowe wsparcie rodzin, dzieci i młodzieży na obszarze rewitalizacji</w:t>
            </w:r>
          </w:p>
        </w:tc>
        <w:tc>
          <w:tcPr>
            <w:tcW w:w="5363" w:type="dxa"/>
            <w:tcBorders/>
            <w:shd w:color="auto" w:fill="F2F2F2" w:themeFill="background1" w:themeFillShade="f2" w:val="clear"/>
            <w:vAlign w:val="center"/>
          </w:tcPr>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Placówka wsparcia dziennego dla dzieci i młodzieży – Świetlica socjoterapeutyczna</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Młodzi u siebie</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Zielono, bezpiecznie, przyjaźnie – zagospodarowanie skweru przy ul. Gołaszyn 12b, 12c i 12d</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Bezpiecznie, z uśmiechem – renowacja i zabezpieczenie placu zabaw przy Kościele Opatrzności Bożej w Nowym Miasteczku</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Nowomiasteczkowa Szkoła Liderów</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Poprawa stanu technicznego mieszkań socjalnych na obszarze rewitalizacji</w:t>
            </w:r>
          </w:p>
        </w:tc>
        <w:tc>
          <w:tcPr>
            <w:tcW w:w="967" w:type="dxa"/>
            <w:tcBorders/>
            <w:shd w:color="auto" w:fill="F2F2F2" w:themeFill="background1" w:themeFillShade="f2" w:val="clear"/>
          </w:tcPr>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U</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U</w:t>
            </w:r>
          </w:p>
        </w:tc>
      </w:tr>
      <w:tr>
        <w:trPr/>
        <w:tc>
          <w:tcPr>
            <w:tcW w:w="2732"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lineRule="auto" w:line="240" w:before="120" w:after="120"/>
              <w:jc w:val="start"/>
              <w:rPr>
                <w:rFonts w:cs="Arial"/>
              </w:rPr>
            </w:pPr>
            <w:r>
              <w:rPr>
                <w:rFonts w:eastAsia="Aptos" w:cs=""/>
                <w:b/>
                <w:bCs/>
                <w:kern w:val="2"/>
                <w:sz w:val="22"/>
                <w:szCs w:val="22"/>
                <w:lang w:val="pl-PL" w:eastAsia="en-US" w:bidi="ar-SA"/>
              </w:rPr>
              <w:t>Wielokierunkowe wsparcie seniorów na obszarze rewitalizacji</w:t>
            </w:r>
          </w:p>
        </w:tc>
        <w:tc>
          <w:tcPr>
            <w:tcW w:w="5363" w:type="dxa"/>
            <w:tcBorders/>
            <w:vAlign w:val="center"/>
          </w:tcPr>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Domowa regeneracja z sercem</w:t>
            </w:r>
          </w:p>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Złota rączka</w:t>
            </w:r>
          </w:p>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Usługa od drzwi do drzwi</w:t>
            </w:r>
          </w:p>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Utworzenie świetlicy wiejskiej w miejscowości Nieciecz</w:t>
            </w:r>
          </w:p>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Senior – seniorowi</w:t>
            </w:r>
          </w:p>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Barwy jesieni</w:t>
            </w:r>
          </w:p>
        </w:tc>
        <w:tc>
          <w:tcPr>
            <w:tcW w:w="967" w:type="dxa"/>
            <w:tcBorders/>
          </w:tcPr>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r>
          </w:p>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U</w:t>
            </w:r>
          </w:p>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U</w:t>
            </w:r>
          </w:p>
        </w:tc>
      </w:tr>
      <w:tr>
        <w:trPr>
          <w:cnfStyle w:val="000000100000" w:firstRow="0" w:lastRow="0" w:firstColumn="0" w:lastColumn="0" w:oddVBand="0" w:evenVBand="0" w:oddHBand="1" w:evenHBand="0" w:firstRowFirstColumn="0" w:firstRowLastColumn="0" w:lastRowFirstColumn="0" w:lastRowLastColumn="0"/>
        </w:trPr>
        <w:tc>
          <w:tcPr>
            <w:tcW w:w="2732" w:type="dxa"/>
            <w:cnfStyle w:val="001000000000" w:firstRow="0" w:lastRow="0" w:firstColumn="1" w:lastColumn="0" w:oddVBand="0" w:evenVBand="0" w:oddHBand="0" w:evenHBand="0" w:firstRowFirstColumn="0" w:firstRowLastColumn="0" w:lastRowFirstColumn="0" w:lastRowLastColumn="0"/>
            <w:tcBorders/>
            <w:shd w:color="auto" w:fill="F2F2F2" w:themeFill="background1" w:themeFillShade="f2" w:val="clear"/>
          </w:tcPr>
          <w:p>
            <w:pPr>
              <w:pStyle w:val="Normal"/>
              <w:widowControl w:val="false"/>
              <w:suppressAutoHyphens w:val="true"/>
              <w:spacing w:lineRule="auto" w:line="240" w:before="120" w:after="120"/>
              <w:jc w:val="start"/>
              <w:rPr>
                <w:rFonts w:cs="Arial"/>
              </w:rPr>
            </w:pPr>
            <w:r>
              <w:rPr>
                <w:rFonts w:eastAsia="Aptos" w:cs=""/>
                <w:b/>
                <w:bCs/>
                <w:kern w:val="2"/>
                <w:sz w:val="22"/>
                <w:szCs w:val="22"/>
                <w:lang w:val="pl-PL" w:eastAsia="en-US" w:bidi="ar-SA"/>
              </w:rPr>
              <w:t>Animowanie aktywności obywatelskiej poprzez włączanie mieszkańców we wdrażanie działań rewitalizacyjnych</w:t>
            </w:r>
          </w:p>
        </w:tc>
        <w:tc>
          <w:tcPr>
            <w:tcW w:w="5363" w:type="dxa"/>
            <w:tcBorders/>
            <w:shd w:color="auto" w:fill="F2F2F2" w:themeFill="background1" w:themeFillShade="f2" w:val="clear"/>
            <w:vAlign w:val="center"/>
          </w:tcPr>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Świetlica w Niecieczy miejscem aktywności wszystkich mieszkańców</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Młodzi u siebie</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Nasze miasteczko, nasza rewitalizacja</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Nowomiasteczkowa Szkoła Liderów</w:t>
            </w:r>
          </w:p>
        </w:tc>
        <w:tc>
          <w:tcPr>
            <w:tcW w:w="967" w:type="dxa"/>
            <w:tcBorders/>
            <w:shd w:color="auto" w:fill="F2F2F2" w:themeFill="background1" w:themeFillShade="f2" w:val="clear"/>
          </w:tcPr>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U</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U</w:t>
            </w:r>
          </w:p>
        </w:tc>
      </w:tr>
      <w:tr>
        <w:trPr/>
        <w:tc>
          <w:tcPr>
            <w:tcW w:w="2732"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lineRule="auto" w:line="240" w:before="120" w:after="120"/>
              <w:jc w:val="start"/>
              <w:rPr>
                <w:rFonts w:eastAsia="Aptos" w:cs="Arial"/>
              </w:rPr>
            </w:pPr>
            <w:r>
              <w:rPr>
                <w:rFonts w:eastAsia="Aptos" w:cs=""/>
                <w:b/>
                <w:bCs/>
                <w:kern w:val="2"/>
                <w:sz w:val="22"/>
                <w:szCs w:val="22"/>
                <w:lang w:val="pl-PL" w:eastAsia="en-US" w:bidi="ar-SA"/>
              </w:rPr>
              <w:t>Wspieranie przedsiębiorczości na obszarze rewitalizacji</w:t>
            </w:r>
          </w:p>
        </w:tc>
        <w:tc>
          <w:tcPr>
            <w:tcW w:w="5363" w:type="dxa"/>
            <w:tcBorders/>
            <w:vAlign w:val="center"/>
          </w:tcPr>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Stworzenie przez Gminę preferencyjnych warunków dla przedsiębiorcy gotowego prowadzić lokal gastronomiczny w Nowym Miasteczku</w:t>
            </w:r>
          </w:p>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Społeczna gastronomia</w:t>
            </w:r>
          </w:p>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Kawiarnia "małoMiasteczkowa"</w:t>
            </w:r>
          </w:p>
        </w:tc>
        <w:tc>
          <w:tcPr>
            <w:tcW w:w="967" w:type="dxa"/>
            <w:tcBorders/>
          </w:tcPr>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r>
          </w:p>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U</w:t>
            </w:r>
          </w:p>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U</w:t>
            </w:r>
          </w:p>
        </w:tc>
      </w:tr>
    </w:tbl>
    <w:p>
      <w:pPr>
        <w:pStyle w:val="Normal"/>
        <w:spacing w:lineRule="auto" w:line="240" w:before="120" w:after="120"/>
        <w:ind w:start="360"/>
        <w:rPr>
          <w:rFonts w:cs="Arial"/>
          <w:b/>
          <w:bCs/>
          <w:color w:val="0070C0"/>
        </w:rPr>
      </w:pPr>
      <w:r>
        <w:rPr>
          <w:rFonts w:cs="Arial"/>
          <w:b/>
          <w:bCs/>
          <w:color w:val="0070C0"/>
        </w:rPr>
      </w:r>
    </w:p>
    <w:p>
      <w:pPr>
        <w:pStyle w:val="Normal"/>
        <w:spacing w:lineRule="auto" w:line="240" w:before="120" w:after="120"/>
        <w:ind w:start="360"/>
        <w:rPr>
          <w:rFonts w:cs="Arial"/>
          <w:b/>
          <w:bCs/>
          <w:color w:val="0070C0"/>
        </w:rPr>
      </w:pPr>
      <w:r>
        <w:rPr>
          <w:rFonts w:cs="Arial"/>
          <w:b/>
          <w:bCs/>
          <w:color w:val="0070C0"/>
        </w:rPr>
        <w:t>Cel szczegółowy 2: Rozwój systemu przestrzeni publicznych przyjaznego ludziom i środowisku na obszarze rewitalizacji</w:t>
      </w:r>
    </w:p>
    <w:tbl>
      <w:tblPr>
        <w:tblStyle w:val="Zwykatabela11"/>
        <w:tblW w:w="9067"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2371"/>
        <w:gridCol w:w="5704"/>
        <w:gridCol w:w="992"/>
      </w:tblGrid>
      <w:tr>
        <w:trPr>
          <w:cnfStyle w:val="100000000000" w:firstRow="1" w:lastRow="0" w:firstColumn="0" w:lastColumn="0" w:oddVBand="0" w:evenVBand="0" w:oddHBand="0" w:evenHBand="0" w:firstRowFirstColumn="0" w:firstRowLastColumn="0" w:lastRowFirstColumn="0" w:lastRowLastColumn="0"/>
        </w:trPr>
        <w:tc>
          <w:tcPr>
            <w:tcW w:w="2371" w:type="dxa"/>
            <w:cnfStyle w:val="001000000000" w:firstRow="0" w:lastRow="0" w:firstColumn="1" w:lastColumn="0" w:oddVBand="0" w:evenVBand="0" w:oddHBand="0" w:evenHBand="0" w:firstRowFirstColumn="0" w:firstRowLastColumn="0" w:lastRowFirstColumn="0" w:lastRowLastColumn="0"/>
            <w:tcBorders/>
            <w:vAlign w:val="center"/>
          </w:tcPr>
          <w:p>
            <w:pPr>
              <w:pStyle w:val="Normal"/>
              <w:widowControl w:val="false"/>
              <w:suppressAutoHyphens w:val="true"/>
              <w:spacing w:lineRule="auto" w:line="240" w:before="120" w:after="120"/>
              <w:jc w:val="center"/>
              <w:rPr>
                <w:rFonts w:cs="Arial"/>
              </w:rPr>
            </w:pPr>
            <w:r>
              <w:rPr>
                <w:rFonts w:eastAsia="Aptos" w:cs="Arial"/>
                <w:b/>
                <w:bCs/>
                <w:kern w:val="2"/>
                <w:sz w:val="22"/>
                <w:szCs w:val="22"/>
                <w:lang w:val="pl-PL" w:eastAsia="en-US" w:bidi="ar-SA"/>
              </w:rPr>
              <w:t>Kierunek działań</w:t>
            </w:r>
          </w:p>
        </w:tc>
        <w:tc>
          <w:tcPr>
            <w:tcW w:w="5704" w:type="dxa"/>
            <w:tcBorders/>
            <w:vAlign w:val="center"/>
          </w:tcPr>
          <w:p>
            <w:pPr>
              <w:pStyle w:val="Normal"/>
              <w:widowControl w:val="false"/>
              <w:suppressAutoHyphens w:val="true"/>
              <w:spacing w:lineRule="auto" w:line="240" w:before="120" w:after="120"/>
              <w:jc w:val="start"/>
              <w:cnfStyle w:val="100000000000" w:firstRow="1" w:lastRow="0" w:firstColumn="0" w:lastColumn="0" w:oddVBand="0" w:evenVBand="0" w:oddHBand="0" w:evenHBand="0" w:firstRowFirstColumn="0" w:firstRowLastColumn="0" w:lastRowFirstColumn="0" w:lastRowLastColumn="0"/>
              <w:rPr>
                <w:rFonts w:cs="Arial"/>
              </w:rPr>
            </w:pPr>
            <w:r>
              <w:rPr>
                <w:rFonts w:eastAsia="Aptos" w:cs="Arial"/>
                <w:b/>
                <w:bCs/>
                <w:kern w:val="2"/>
                <w:sz w:val="22"/>
                <w:szCs w:val="22"/>
                <w:lang w:val="pl-PL" w:eastAsia="en-US" w:bidi="ar-SA"/>
              </w:rPr>
              <w:t xml:space="preserve">Przykładowe przedsięwzięcia </w:t>
              <w:br/>
              <w:t>(projekty) rewitalizacyjne</w:t>
            </w:r>
          </w:p>
        </w:tc>
        <w:tc>
          <w:tcPr>
            <w:tcW w:w="992" w:type="dxa"/>
            <w:tcBorders/>
            <w:vAlign w:val="center"/>
          </w:tcPr>
          <w:p>
            <w:pPr>
              <w:pStyle w:val="Normal"/>
              <w:widowControl w:val="false"/>
              <w:suppressAutoHyphens w:val="true"/>
              <w:spacing w:lineRule="auto" w:line="240" w:before="120" w:after="120"/>
              <w:jc w:val="center"/>
              <w:cnfStyle w:val="100000000000" w:firstRow="1" w:lastRow="0" w:firstColumn="0" w:lastColumn="0" w:oddVBand="0" w:evenVBand="0" w:oddHBand="0" w:evenHBand="0" w:firstRowFirstColumn="0" w:firstRowLastColumn="0" w:lastRowFirstColumn="0" w:lastRowLastColumn="0"/>
              <w:rPr>
                <w:rFonts w:cs="Arial"/>
              </w:rPr>
            </w:pPr>
            <w:r>
              <w:rPr>
                <w:rFonts w:eastAsia="Aptos" w:cs="Arial"/>
                <w:b/>
                <w:bCs/>
                <w:kern w:val="2"/>
                <w:sz w:val="22"/>
                <w:szCs w:val="22"/>
                <w:lang w:val="pl-PL" w:eastAsia="en-US" w:bidi="ar-SA"/>
              </w:rPr>
              <w:t>P/U</w:t>
            </w:r>
          </w:p>
        </w:tc>
      </w:tr>
      <w:tr>
        <w:trPr>
          <w:cnfStyle w:val="000000100000" w:firstRow="0" w:lastRow="0" w:firstColumn="0" w:lastColumn="0" w:oddVBand="0" w:evenVBand="0" w:oddHBand="1" w:evenHBand="0" w:firstRowFirstColumn="0" w:firstRowLastColumn="0" w:lastRowFirstColumn="0" w:lastRowLastColumn="0"/>
        </w:trPr>
        <w:tc>
          <w:tcPr>
            <w:tcW w:w="2371" w:type="dxa"/>
            <w:cnfStyle w:val="001000000000" w:firstRow="0" w:lastRow="0" w:firstColumn="1" w:lastColumn="0" w:oddVBand="0" w:evenVBand="0" w:oddHBand="0" w:evenHBand="0" w:firstRowFirstColumn="0" w:firstRowLastColumn="0" w:lastRowFirstColumn="0" w:lastRowLastColumn="0"/>
            <w:tcBorders/>
            <w:shd w:color="auto" w:fill="F2F2F2" w:themeFill="background1" w:themeFillShade="f2" w:val="clear"/>
          </w:tcPr>
          <w:p>
            <w:pPr>
              <w:pStyle w:val="Normal"/>
              <w:widowControl w:val="false"/>
              <w:suppressAutoHyphens w:val="true"/>
              <w:spacing w:lineRule="auto" w:line="240" w:before="120" w:after="120"/>
              <w:jc w:val="start"/>
              <w:rPr>
                <w:rFonts w:cs="Arial"/>
              </w:rPr>
            </w:pPr>
            <w:r>
              <w:rPr>
                <w:rFonts w:eastAsia="Aptos" w:cs=""/>
                <w:b/>
                <w:bCs/>
                <w:kern w:val="2"/>
                <w:sz w:val="22"/>
                <w:szCs w:val="22"/>
                <w:lang w:val="pl-PL" w:eastAsia="en-US" w:bidi="ar-SA"/>
              </w:rPr>
              <w:t>Inwestycje w poprawę bezpieczeństwa na obszarze rewitalizacji</w:t>
            </w:r>
          </w:p>
        </w:tc>
        <w:tc>
          <w:tcPr>
            <w:tcW w:w="5704" w:type="dxa"/>
            <w:tcBorders/>
            <w:shd w:color="auto" w:fill="F2F2F2" w:themeFill="background1" w:themeFillShade="f2" w:val="clear"/>
            <w:vAlign w:val="center"/>
          </w:tcPr>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Nowe Miasteczko jak z pocztówki</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Zielono, bezpiecznie, przyjaźnie – zagospodarowanie skweru przy ul. Gołaszyn 12b, 12c i 12d</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Bezpiecznie, z uśmiechem – renowacja i zabezpieczenie placu zabaw przy Kościele Opatrzności Bożej w Nowym Miasteczku</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Budowa obwodnicy Nowego Miasteczka</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Oddech dla Rynku w Nowym Miasteczku</w:t>
            </w:r>
          </w:p>
        </w:tc>
        <w:tc>
          <w:tcPr>
            <w:tcW w:w="992" w:type="dxa"/>
            <w:tcBorders/>
            <w:shd w:color="auto" w:fill="F2F2F2" w:themeFill="background1" w:themeFillShade="f2" w:val="clear"/>
            <w:vAlign w:val="center"/>
          </w:tcPr>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U</w:t>
            </w:r>
          </w:p>
        </w:tc>
      </w:tr>
      <w:tr>
        <w:trPr/>
        <w:tc>
          <w:tcPr>
            <w:tcW w:w="2371"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lineRule="auto" w:line="240" w:before="120" w:after="120"/>
              <w:jc w:val="start"/>
              <w:rPr>
                <w:rFonts w:cs="Arial"/>
              </w:rPr>
            </w:pPr>
            <w:r>
              <w:rPr>
                <w:rFonts w:eastAsia="Aptos" w:cs=""/>
                <w:b/>
                <w:bCs/>
                <w:kern w:val="2"/>
                <w:sz w:val="22"/>
                <w:szCs w:val="22"/>
                <w:lang w:val="pl-PL" w:eastAsia="en-US" w:bidi="ar-SA"/>
              </w:rPr>
              <w:t>Poprawa dostępności najważniejszych miejsc na obszarze rewitalizacji dla osób ze szczególnymi potrzebami</w:t>
            </w:r>
          </w:p>
        </w:tc>
        <w:tc>
          <w:tcPr>
            <w:tcW w:w="5704" w:type="dxa"/>
            <w:tcBorders/>
            <w:vAlign w:val="center"/>
          </w:tcPr>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Siądź pod mym liściem, a odpocznij sobie</w:t>
            </w:r>
          </w:p>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Przyjazny i dostępny urząd</w:t>
            </w:r>
          </w:p>
        </w:tc>
        <w:tc>
          <w:tcPr>
            <w:tcW w:w="992" w:type="dxa"/>
            <w:tcBorders/>
            <w:vAlign w:val="center"/>
          </w:tcPr>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U</w:t>
            </w:r>
          </w:p>
        </w:tc>
      </w:tr>
      <w:tr>
        <w:trPr>
          <w:cnfStyle w:val="000000100000" w:firstRow="0" w:lastRow="0" w:firstColumn="0" w:lastColumn="0" w:oddVBand="0" w:evenVBand="0" w:oddHBand="1" w:evenHBand="0" w:firstRowFirstColumn="0" w:firstRowLastColumn="0" w:lastRowFirstColumn="0" w:lastRowLastColumn="0"/>
        </w:trPr>
        <w:tc>
          <w:tcPr>
            <w:tcW w:w="2371" w:type="dxa"/>
            <w:cnfStyle w:val="001000000000" w:firstRow="0" w:lastRow="0" w:firstColumn="1" w:lastColumn="0" w:oddVBand="0" w:evenVBand="0" w:oddHBand="0" w:evenHBand="0" w:firstRowFirstColumn="0" w:firstRowLastColumn="0" w:lastRowFirstColumn="0" w:lastRowLastColumn="0"/>
            <w:tcBorders/>
            <w:shd w:color="auto" w:fill="F2F2F2" w:themeFill="background1" w:themeFillShade="f2" w:val="clear"/>
          </w:tcPr>
          <w:p>
            <w:pPr>
              <w:pStyle w:val="Normal"/>
              <w:widowControl w:val="false"/>
              <w:suppressAutoHyphens w:val="true"/>
              <w:spacing w:lineRule="auto" w:line="240" w:before="120" w:after="120"/>
              <w:jc w:val="start"/>
              <w:rPr>
                <w:rFonts w:cs="Arial"/>
              </w:rPr>
            </w:pPr>
            <w:r>
              <w:rPr>
                <w:rFonts w:eastAsia="Aptos" w:cs=""/>
                <w:b/>
                <w:bCs/>
                <w:kern w:val="2"/>
                <w:sz w:val="22"/>
                <w:szCs w:val="22"/>
                <w:lang w:val="pl-PL" w:eastAsia="en-US" w:bidi="ar-SA"/>
              </w:rPr>
              <w:t>Rewaloryzacja terenów zielonych na obszarze rewitalizacji</w:t>
            </w:r>
          </w:p>
        </w:tc>
        <w:tc>
          <w:tcPr>
            <w:tcW w:w="5704" w:type="dxa"/>
            <w:tcBorders/>
            <w:shd w:color="auto" w:fill="F2F2F2" w:themeFill="background1" w:themeFillShade="f2" w:val="clear"/>
            <w:vAlign w:val="center"/>
          </w:tcPr>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Zagospodarowanie Parku XXX-lecia w Nowym Miasteczku</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Zakątek nad Białą Wodą</w:t>
            </w:r>
          </w:p>
        </w:tc>
        <w:tc>
          <w:tcPr>
            <w:tcW w:w="992" w:type="dxa"/>
            <w:tcBorders/>
            <w:shd w:color="auto" w:fill="F2F2F2" w:themeFill="background1" w:themeFillShade="f2" w:val="clear"/>
            <w:vAlign w:val="center"/>
          </w:tcPr>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tc>
      </w:tr>
      <w:tr>
        <w:trPr/>
        <w:tc>
          <w:tcPr>
            <w:tcW w:w="2371"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lineRule="auto" w:line="240" w:before="120" w:after="120"/>
              <w:jc w:val="start"/>
              <w:rPr>
                <w:rFonts w:eastAsia="Aptos" w:cs="Arial"/>
              </w:rPr>
            </w:pPr>
            <w:r>
              <w:rPr>
                <w:rFonts w:eastAsia="Aptos" w:cs=""/>
                <w:b/>
                <w:bCs/>
                <w:kern w:val="2"/>
                <w:sz w:val="22"/>
                <w:szCs w:val="22"/>
                <w:lang w:val="pl-PL" w:eastAsia="en-US" w:bidi="ar-SA"/>
              </w:rPr>
              <w:t>Ekologiczne działania w zakresie termomodernizacji, energomodernizacji i błękitno-zielonej infrastruktury</w:t>
            </w:r>
          </w:p>
        </w:tc>
        <w:tc>
          <w:tcPr>
            <w:tcW w:w="5704" w:type="dxa"/>
            <w:tcBorders/>
            <w:vAlign w:val="center"/>
          </w:tcPr>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Budowa ogrodów deszczowych w Nowym Miasteczku – adaptacja terenów zurbanizowanych do zmian klimatu</w:t>
            </w:r>
          </w:p>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Ekologiczny Rynek</w:t>
            </w:r>
          </w:p>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Klimatyczny obszar rewitalizacji</w:t>
            </w:r>
          </w:p>
        </w:tc>
        <w:tc>
          <w:tcPr>
            <w:tcW w:w="992" w:type="dxa"/>
            <w:tcBorders/>
            <w:vAlign w:val="center"/>
          </w:tcPr>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U</w:t>
            </w:r>
          </w:p>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U</w:t>
            </w:r>
          </w:p>
        </w:tc>
      </w:tr>
    </w:tbl>
    <w:p>
      <w:pPr>
        <w:pStyle w:val="Normal"/>
        <w:spacing w:lineRule="auto" w:line="240" w:before="120" w:after="120"/>
        <w:ind w:start="360"/>
        <w:rPr>
          <w:rFonts w:cs="Arial"/>
          <w:b/>
          <w:bCs/>
          <w:color w:val="0070C0"/>
        </w:rPr>
      </w:pPr>
      <w:r>
        <w:rPr>
          <w:rFonts w:cs="Arial"/>
          <w:b/>
          <w:bCs/>
          <w:color w:val="0070C0"/>
        </w:rPr>
      </w:r>
    </w:p>
    <w:p>
      <w:pPr>
        <w:pStyle w:val="Normal"/>
        <w:spacing w:lineRule="auto" w:line="240" w:before="120" w:after="120"/>
        <w:ind w:start="360"/>
        <w:rPr>
          <w:rFonts w:cs="Arial"/>
          <w:b/>
          <w:bCs/>
          <w:color w:val="0070C0"/>
        </w:rPr>
      </w:pPr>
      <w:r>
        <w:rPr>
          <w:rFonts w:cs="Arial"/>
          <w:b/>
          <w:bCs/>
          <w:color w:val="0070C0"/>
        </w:rPr>
        <w:t>Cel szczegółowy 3: Budowanie więzi mieszkańców z obszarem rewitalizacji poprzez jego estetyzację oraz podkreślanie tożsamości opartej na dziedzictwie i kulturze</w:t>
      </w:r>
    </w:p>
    <w:tbl>
      <w:tblPr>
        <w:tblStyle w:val="Zwykatabela11"/>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2598"/>
        <w:gridCol w:w="5449"/>
        <w:gridCol w:w="1015"/>
      </w:tblGrid>
      <w:tr>
        <w:trPr>
          <w:cnfStyle w:val="100000000000" w:firstRow="1" w:lastRow="0" w:firstColumn="0" w:lastColumn="0" w:oddVBand="0" w:evenVBand="0" w:oddHBand="0" w:evenHBand="0" w:firstRowFirstColumn="0" w:firstRowLastColumn="0" w:lastRowFirstColumn="0" w:lastRowLastColumn="0"/>
        </w:trPr>
        <w:tc>
          <w:tcPr>
            <w:tcW w:w="2598" w:type="dxa"/>
            <w:cnfStyle w:val="001000000000" w:firstRow="0" w:lastRow="0" w:firstColumn="1" w:lastColumn="0" w:oddVBand="0" w:evenVBand="0" w:oddHBand="0" w:evenHBand="0" w:firstRowFirstColumn="0" w:firstRowLastColumn="0" w:lastRowFirstColumn="0" w:lastRowLastColumn="0"/>
            <w:tcBorders/>
            <w:vAlign w:val="center"/>
          </w:tcPr>
          <w:p>
            <w:pPr>
              <w:pStyle w:val="Normal"/>
              <w:widowControl w:val="false"/>
              <w:suppressAutoHyphens w:val="true"/>
              <w:spacing w:lineRule="auto" w:line="240" w:before="120" w:after="120"/>
              <w:jc w:val="center"/>
              <w:rPr>
                <w:rFonts w:cs="Arial"/>
              </w:rPr>
            </w:pPr>
            <w:r>
              <w:rPr>
                <w:rFonts w:eastAsia="Aptos" w:cs="Arial"/>
                <w:b/>
                <w:bCs/>
                <w:kern w:val="2"/>
                <w:sz w:val="22"/>
                <w:szCs w:val="22"/>
                <w:lang w:val="pl-PL" w:eastAsia="en-US" w:bidi="ar-SA"/>
              </w:rPr>
              <w:t>Kierunek działań</w:t>
            </w:r>
          </w:p>
        </w:tc>
        <w:tc>
          <w:tcPr>
            <w:tcW w:w="5449" w:type="dxa"/>
            <w:tcBorders/>
            <w:vAlign w:val="center"/>
          </w:tcPr>
          <w:p>
            <w:pPr>
              <w:pStyle w:val="Normal"/>
              <w:widowControl w:val="false"/>
              <w:suppressAutoHyphens w:val="true"/>
              <w:spacing w:lineRule="auto" w:line="240" w:before="120" w:after="120"/>
              <w:jc w:val="center"/>
              <w:cnfStyle w:val="100000000000" w:firstRow="1" w:lastRow="0" w:firstColumn="0" w:lastColumn="0" w:oddVBand="0" w:evenVBand="0" w:oddHBand="0" w:evenHBand="0" w:firstRowFirstColumn="0" w:firstRowLastColumn="0" w:lastRowFirstColumn="0" w:lastRowLastColumn="0"/>
              <w:rPr>
                <w:rFonts w:cs="Arial"/>
              </w:rPr>
            </w:pPr>
            <w:r>
              <w:rPr>
                <w:rFonts w:eastAsia="Aptos" w:cs="Arial"/>
                <w:b/>
                <w:bCs/>
                <w:kern w:val="2"/>
                <w:sz w:val="22"/>
                <w:szCs w:val="22"/>
                <w:lang w:val="pl-PL" w:eastAsia="en-US" w:bidi="ar-SA"/>
              </w:rPr>
              <w:t xml:space="preserve">Przykładowe przedsięwzięcia </w:t>
              <w:br/>
              <w:t>(projekty) rewitalizacyjne</w:t>
            </w:r>
          </w:p>
        </w:tc>
        <w:tc>
          <w:tcPr>
            <w:tcW w:w="1015" w:type="dxa"/>
            <w:tcBorders/>
            <w:vAlign w:val="center"/>
          </w:tcPr>
          <w:p>
            <w:pPr>
              <w:pStyle w:val="Normal"/>
              <w:widowControl w:val="false"/>
              <w:suppressAutoHyphens w:val="true"/>
              <w:spacing w:lineRule="auto" w:line="240" w:before="120" w:after="120"/>
              <w:jc w:val="center"/>
              <w:cnfStyle w:val="100000000000" w:firstRow="1" w:lastRow="0" w:firstColumn="0" w:lastColumn="0" w:oddVBand="0" w:evenVBand="0" w:oddHBand="0" w:evenHBand="0" w:firstRowFirstColumn="0" w:firstRowLastColumn="0" w:lastRowFirstColumn="0" w:lastRowLastColumn="0"/>
              <w:rPr>
                <w:rFonts w:cs="Arial"/>
              </w:rPr>
            </w:pPr>
            <w:r>
              <w:rPr>
                <w:rFonts w:eastAsia="Aptos" w:cs="Arial"/>
                <w:b/>
                <w:bCs/>
                <w:kern w:val="2"/>
                <w:sz w:val="22"/>
                <w:szCs w:val="22"/>
                <w:lang w:val="pl-PL" w:eastAsia="en-US" w:bidi="ar-SA"/>
              </w:rPr>
              <w:t>P/U</w:t>
            </w:r>
          </w:p>
        </w:tc>
      </w:tr>
      <w:tr>
        <w:trPr>
          <w:cnfStyle w:val="000000100000" w:firstRow="0" w:lastRow="0" w:firstColumn="0" w:lastColumn="0" w:oddVBand="0" w:evenVBand="0" w:oddHBand="1" w:evenHBand="0" w:firstRowFirstColumn="0" w:firstRowLastColumn="0" w:lastRowFirstColumn="0" w:lastRowLastColumn="0"/>
        </w:trPr>
        <w:tc>
          <w:tcPr>
            <w:tcW w:w="2598" w:type="dxa"/>
            <w:cnfStyle w:val="001000000000" w:firstRow="0" w:lastRow="0" w:firstColumn="1" w:lastColumn="0" w:oddVBand="0" w:evenVBand="0" w:oddHBand="0" w:evenHBand="0" w:firstRowFirstColumn="0" w:firstRowLastColumn="0" w:lastRowFirstColumn="0" w:lastRowLastColumn="0"/>
            <w:tcBorders/>
            <w:shd w:color="auto" w:fill="F2F2F2" w:themeFill="background1" w:themeFillShade="f2" w:val="clear"/>
          </w:tcPr>
          <w:p>
            <w:pPr>
              <w:pStyle w:val="Normal"/>
              <w:widowControl w:val="false"/>
              <w:suppressAutoHyphens w:val="true"/>
              <w:spacing w:lineRule="auto" w:line="240" w:before="120" w:after="120"/>
              <w:jc w:val="start"/>
              <w:rPr>
                <w:rFonts w:cs="Arial"/>
              </w:rPr>
            </w:pPr>
            <w:r>
              <w:rPr>
                <w:rFonts w:eastAsia="Aptos" w:cs=""/>
                <w:b/>
                <w:bCs/>
                <w:kern w:val="2"/>
                <w:sz w:val="22"/>
                <w:szCs w:val="22"/>
                <w:lang w:val="pl-PL" w:eastAsia="en-US" w:bidi="ar-SA"/>
              </w:rPr>
              <w:t>Nadanie Rynkowi charakteru kulturalnego, społecznego i gospodarczego centrum Nowego Miasteczka</w:t>
            </w:r>
          </w:p>
        </w:tc>
        <w:tc>
          <w:tcPr>
            <w:tcW w:w="5449" w:type="dxa"/>
            <w:tcBorders/>
            <w:shd w:color="auto" w:fill="F2F2F2" w:themeFill="background1" w:themeFillShade="f2" w:val="clear"/>
            <w:vAlign w:val="center"/>
          </w:tcPr>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ascii="Aptos" w:hAnsi="Aptos" w:cs="Arial"/>
              </w:rPr>
            </w:pPr>
            <w:r>
              <w:rPr>
                <w:rFonts w:eastAsia="Aptos" w:cs="Arial" w:ascii="Aptos" w:hAnsi="Aptos"/>
                <w:kern w:val="2"/>
                <w:sz w:val="22"/>
                <w:szCs w:val="22"/>
                <w:lang w:val="pl-PL" w:eastAsia="en-US" w:bidi="ar-SA"/>
              </w:rPr>
              <w:t>Rynek – bijące serce Nowego Miasteczka</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ascii="Aptos" w:hAnsi="Aptos" w:cs="Arial"/>
              </w:rPr>
            </w:pPr>
            <w:r>
              <w:rPr>
                <w:rFonts w:eastAsia="Aptos" w:cs="Arial" w:ascii="Aptos" w:hAnsi="Aptos"/>
                <w:kern w:val="2"/>
                <w:sz w:val="22"/>
                <w:szCs w:val="22"/>
                <w:lang w:val="pl-PL" w:eastAsia="en-US" w:bidi="ar-SA"/>
              </w:rPr>
              <w:t>Stworzenie przez Gminę preferencyjnych warunków dla przedsiębiorcy gotowego prowadzić lokal gastronomiczny w Nowym Miasteczku</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ascii="Aptos" w:hAnsi="Aptos" w:cs="Arial"/>
              </w:rPr>
            </w:pPr>
            <w:r>
              <w:rPr>
                <w:rFonts w:eastAsia="Aptos" w:cs="Arial" w:ascii="Aptos" w:hAnsi="Aptos"/>
                <w:kern w:val="2"/>
                <w:sz w:val="22"/>
                <w:szCs w:val="22"/>
                <w:lang w:val="pl-PL" w:eastAsia="en-US" w:bidi="ar-SA"/>
              </w:rPr>
              <w:t>Nowe Miasteczko jak z pocztówki</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ascii="Aptos" w:hAnsi="Aptos" w:cs="Arial"/>
              </w:rPr>
            </w:pPr>
            <w:r>
              <w:rPr>
                <w:rFonts w:eastAsia="Aptos" w:cs="Arial" w:ascii="Aptos" w:hAnsi="Aptos"/>
                <w:kern w:val="2"/>
                <w:sz w:val="22"/>
                <w:szCs w:val="22"/>
                <w:lang w:val="pl-PL" w:eastAsia="en-US" w:bidi="ar-SA"/>
              </w:rPr>
              <w:t>Oddech dla Rynku w Nowym Miasteczku</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ascii="Aptos" w:hAnsi="Aptos" w:cs="Arial"/>
              </w:rPr>
            </w:pPr>
            <w:r>
              <w:rPr>
                <w:rFonts w:eastAsia="Aptos" w:cs="Arial" w:ascii="Aptos" w:hAnsi="Aptos"/>
                <w:kern w:val="2"/>
                <w:sz w:val="22"/>
                <w:szCs w:val="22"/>
                <w:lang w:val="pl-PL" w:eastAsia="en-US" w:bidi="ar-SA"/>
              </w:rPr>
              <w:t>Make-up dla Rynku w Nowym Miasteczku</w:t>
            </w:r>
          </w:p>
        </w:tc>
        <w:tc>
          <w:tcPr>
            <w:tcW w:w="1015" w:type="dxa"/>
            <w:tcBorders/>
            <w:shd w:color="auto" w:fill="F2F2F2" w:themeFill="background1" w:themeFillShade="f2" w:val="clear"/>
          </w:tcPr>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U</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U</w:t>
            </w:r>
          </w:p>
        </w:tc>
      </w:tr>
      <w:tr>
        <w:trPr/>
        <w:tc>
          <w:tcPr>
            <w:tcW w:w="2598"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lineRule="auto" w:line="240" w:before="120" w:after="120"/>
              <w:jc w:val="start"/>
              <w:rPr>
                <w:rFonts w:cs="Arial"/>
              </w:rPr>
            </w:pPr>
            <w:r>
              <w:rPr>
                <w:rFonts w:eastAsia="Aptos" w:cs=""/>
                <w:b/>
                <w:bCs/>
                <w:kern w:val="2"/>
                <w:sz w:val="22"/>
                <w:szCs w:val="22"/>
                <w:lang w:val="pl-PL" w:eastAsia="en-US" w:bidi="ar-SA"/>
              </w:rPr>
              <w:t>Poprawa estetyki na obszarze rewitalizacji</w:t>
            </w:r>
          </w:p>
        </w:tc>
        <w:tc>
          <w:tcPr>
            <w:tcW w:w="5449" w:type="dxa"/>
            <w:tcBorders/>
            <w:vAlign w:val="center"/>
          </w:tcPr>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ascii="Aptos" w:hAnsi="Aptos" w:cs="Arial"/>
              </w:rPr>
            </w:pPr>
            <w:r>
              <w:rPr>
                <w:rFonts w:eastAsia="Aptos" w:cs="Arial" w:ascii="Aptos" w:hAnsi="Aptos"/>
                <w:kern w:val="2"/>
                <w:sz w:val="22"/>
                <w:szCs w:val="22"/>
                <w:lang w:val="pl-PL" w:eastAsia="en-US" w:bidi="ar-SA"/>
              </w:rPr>
              <w:t>Nowe Miasteczko jak z pocztówki</w:t>
            </w:r>
          </w:p>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ascii="Aptos" w:hAnsi="Aptos" w:cs="Arial"/>
              </w:rPr>
            </w:pPr>
            <w:r>
              <w:rPr>
                <w:rFonts w:eastAsia="Aptos" w:cs="Arial" w:ascii="Aptos" w:hAnsi="Aptos"/>
                <w:kern w:val="2"/>
                <w:sz w:val="22"/>
                <w:szCs w:val="22"/>
                <w:lang w:val="pl-PL" w:eastAsia="en-US" w:bidi="ar-SA"/>
              </w:rPr>
              <w:t>Siądź pod mym liściem, a odpocznij sobie</w:t>
            </w:r>
          </w:p>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ascii="Aptos" w:hAnsi="Aptos" w:cs="Arial"/>
              </w:rPr>
            </w:pPr>
            <w:r>
              <w:rPr>
                <w:rFonts w:eastAsia="Aptos" w:cs="Arial" w:ascii="Aptos" w:hAnsi="Aptos"/>
                <w:kern w:val="2"/>
                <w:sz w:val="22"/>
                <w:szCs w:val="22"/>
                <w:lang w:val="pl-PL" w:eastAsia="en-US" w:bidi="ar-SA"/>
              </w:rPr>
              <w:t>Nasze podwórka</w:t>
            </w:r>
          </w:p>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ascii="Aptos" w:hAnsi="Aptos" w:cs="Arial"/>
              </w:rPr>
            </w:pPr>
            <w:r>
              <w:rPr>
                <w:rFonts w:eastAsia="Aptos" w:cs="Arial" w:ascii="Aptos" w:hAnsi="Aptos"/>
                <w:kern w:val="2"/>
                <w:sz w:val="22"/>
                <w:szCs w:val="22"/>
                <w:lang w:val="pl-PL" w:eastAsia="en-US" w:bidi="ar-SA"/>
              </w:rPr>
              <w:t>Make-up dla Rynku w Nowym Miasteczku</w:t>
            </w:r>
          </w:p>
          <w:p>
            <w:pPr>
              <w:pStyle w:val="Normal"/>
              <w:widowControl w:val="false"/>
              <w:suppressAutoHyphens w:val="true"/>
              <w:spacing w:lineRule="auto" w:line="240" w:before="120" w:after="120"/>
              <w:jc w:val="start"/>
              <w:cnfStyle w:val="000000000000" w:firstRow="0" w:lastRow="0" w:firstColumn="0" w:lastColumn="0" w:oddVBand="0" w:evenVBand="0" w:oddHBand="0" w:evenHBand="0" w:firstRowFirstColumn="0" w:firstRowLastColumn="0" w:lastRowFirstColumn="0" w:lastRowLastColumn="0"/>
              <w:rPr>
                <w:rFonts w:ascii="Aptos" w:hAnsi="Aptos" w:cs="Arial"/>
              </w:rPr>
            </w:pPr>
            <w:r>
              <w:rPr>
                <w:rFonts w:eastAsia="Aptos" w:cs="Arial" w:ascii="Aptos" w:hAnsi="Aptos"/>
                <w:kern w:val="2"/>
                <w:sz w:val="22"/>
                <w:szCs w:val="22"/>
                <w:lang w:val="pl-PL" w:eastAsia="en-US" w:bidi="ar-SA"/>
              </w:rPr>
              <w:t>Jestem z Nowego Miasteczka, czyli...</w:t>
            </w:r>
          </w:p>
        </w:tc>
        <w:tc>
          <w:tcPr>
            <w:tcW w:w="1015" w:type="dxa"/>
            <w:tcBorders/>
          </w:tcPr>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U</w:t>
            </w:r>
          </w:p>
          <w:p>
            <w:pPr>
              <w:pStyle w:val="Normal"/>
              <w:widowControl w:val="false"/>
              <w:suppressAutoHyphens w:val="true"/>
              <w:spacing w:lineRule="auto" w:line="240" w:before="120" w:after="120"/>
              <w:cnfStyle w:val="000000000000" w:firstRow="0" w:lastRow="0" w:firstColumn="0" w:lastColumn="0" w:oddVBand="0" w:evenVBand="0" w:oddHBand="0" w:evenHBand="0" w:firstRowFirstColumn="0" w:firstRowLastColumn="0" w:lastRowFirstColumn="0" w:lastRowLastColumn="0"/>
              <w:rPr>
                <w:rFonts w:cs="Arial"/>
              </w:rPr>
            </w:pPr>
            <w:r>
              <w:rPr>
                <w:rFonts w:eastAsia="Aptos" w:cs="Arial"/>
                <w:kern w:val="2"/>
                <w:sz w:val="22"/>
                <w:szCs w:val="22"/>
                <w:lang w:val="pl-PL" w:eastAsia="en-US" w:bidi="ar-SA"/>
              </w:rPr>
              <w:t>U</w:t>
            </w:r>
          </w:p>
        </w:tc>
      </w:tr>
      <w:tr>
        <w:trPr>
          <w:cnfStyle w:val="000000100000" w:firstRow="0" w:lastRow="0" w:firstColumn="0" w:lastColumn="0" w:oddVBand="0" w:evenVBand="0" w:oddHBand="1" w:evenHBand="0" w:firstRowFirstColumn="0" w:firstRowLastColumn="0" w:lastRowFirstColumn="0" w:lastRowLastColumn="0"/>
        </w:trPr>
        <w:tc>
          <w:tcPr>
            <w:tcW w:w="2598" w:type="dxa"/>
            <w:cnfStyle w:val="001000000000" w:firstRow="0" w:lastRow="0" w:firstColumn="1" w:lastColumn="0" w:oddVBand="0" w:evenVBand="0" w:oddHBand="0" w:evenHBand="0" w:firstRowFirstColumn="0" w:firstRowLastColumn="0" w:lastRowFirstColumn="0" w:lastRowLastColumn="0"/>
            <w:tcBorders/>
            <w:shd w:color="auto" w:fill="F2F2F2" w:themeFill="background1" w:themeFillShade="f2" w:val="clear"/>
          </w:tcPr>
          <w:p>
            <w:pPr>
              <w:pStyle w:val="Normal"/>
              <w:widowControl w:val="false"/>
              <w:suppressAutoHyphens w:val="true"/>
              <w:spacing w:lineRule="auto" w:line="240" w:before="120" w:after="120"/>
              <w:jc w:val="start"/>
              <w:rPr>
                <w:rFonts w:cs="Arial"/>
              </w:rPr>
            </w:pPr>
            <w:r>
              <w:rPr>
                <w:rFonts w:eastAsia="Aptos" w:cs=""/>
                <w:b/>
                <w:bCs/>
                <w:kern w:val="2"/>
                <w:sz w:val="22"/>
                <w:szCs w:val="22"/>
                <w:lang w:val="pl-PL" w:eastAsia="en-US" w:bidi="ar-SA"/>
              </w:rPr>
              <w:t>Wzmacnianie poczucia tożsamości lokalnej wśród mieszkańców obszaru rewitalizacji</w:t>
            </w:r>
          </w:p>
        </w:tc>
        <w:tc>
          <w:tcPr>
            <w:tcW w:w="5449" w:type="dxa"/>
            <w:tcBorders/>
            <w:shd w:color="auto" w:fill="F2F2F2" w:themeFill="background1" w:themeFillShade="f2" w:val="clear"/>
          </w:tcPr>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Rynek – bijące serce Nowego Miasteczka</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Świetlica w Niecieczy miejscem aktywności wszystkich mieszkańców</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Młodzi u siebie</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Nasze miasteczko, nasza rewitalizacja</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Pokolenia dla pokoleń</w:t>
            </w:r>
          </w:p>
          <w:p>
            <w:pPr>
              <w:pStyle w:val="Normal"/>
              <w:widowControl w:val="false"/>
              <w:suppressAutoHyphens w:val="true"/>
              <w:spacing w:lineRule="auto" w:line="240" w:before="120" w:after="120"/>
              <w:jc w:val="start"/>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Jestem z Nowego Miasteczka, czyli...</w:t>
            </w:r>
          </w:p>
        </w:tc>
        <w:tc>
          <w:tcPr>
            <w:tcW w:w="1015" w:type="dxa"/>
            <w:tcBorders/>
            <w:shd w:color="auto" w:fill="F2F2F2" w:themeFill="background1" w:themeFillShade="f2" w:val="clear"/>
          </w:tcPr>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P</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U</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U</w:t>
            </w:r>
          </w:p>
          <w:p>
            <w:pPr>
              <w:pStyle w:val="Normal"/>
              <w:widowControl w:val="false"/>
              <w:suppressAutoHyphens w:val="true"/>
              <w:spacing w:lineRule="auto" w:line="240" w:before="120" w:after="120"/>
              <w:cnfStyle w:val="000000100000" w:firstRow="0" w:lastRow="0" w:firstColumn="0" w:lastColumn="0" w:oddVBand="0" w:evenVBand="0" w:oddHBand="1" w:evenHBand="0" w:firstRowFirstColumn="0" w:firstRowLastColumn="0" w:lastRowFirstColumn="0" w:lastRowLastColumn="0"/>
              <w:rPr>
                <w:rFonts w:cs="Arial"/>
              </w:rPr>
            </w:pPr>
            <w:r>
              <w:rPr>
                <w:rFonts w:eastAsia="Aptos" w:cs="Arial"/>
                <w:kern w:val="2"/>
                <w:sz w:val="22"/>
                <w:szCs w:val="22"/>
                <w:lang w:val="pl-PL" w:eastAsia="en-US" w:bidi="ar-SA"/>
              </w:rPr>
              <w:t>U</w:t>
            </w:r>
          </w:p>
        </w:tc>
      </w:tr>
    </w:tbl>
    <w:p>
      <w:pPr>
        <w:pStyle w:val="Normal"/>
        <w:spacing w:lineRule="auto" w:line="240" w:before="120" w:after="120"/>
        <w:ind w:start="360"/>
        <w:rPr>
          <w:rFonts w:cs="Arial"/>
          <w:b/>
          <w:bCs/>
          <w:color w:val="0070C0"/>
        </w:rPr>
      </w:pPr>
      <w:r>
        <w:rPr>
          <w:rFonts w:cs="Arial"/>
          <w:b/>
          <w:bCs/>
          <w:color w:val="0070C0"/>
        </w:rPr>
      </w:r>
    </w:p>
    <w:p>
      <w:pPr>
        <w:pStyle w:val="Normal"/>
        <w:rPr/>
      </w:pPr>
      <w:r>
        <w:rPr/>
      </w:r>
    </w:p>
    <w:p>
      <w:pPr>
        <w:pStyle w:val="Heading1"/>
        <w:spacing w:before="0" w:after="80"/>
        <w:rPr/>
      </w:pPr>
      <w:bookmarkStart w:id="59" w:name="_Toc216991172"/>
      <w:r>
        <w:rPr/>
        <w:t>6. PRZEDSIĘWZIĘCIA REWITALIZACYJNE</w:t>
      </w:r>
      <w:bookmarkEnd w:id="59"/>
    </w:p>
    <w:p>
      <w:pPr>
        <w:pStyle w:val="Heading2"/>
        <w:rPr/>
      </w:pPr>
      <w:bookmarkStart w:id="60" w:name="_Toc216991173"/>
      <w:r>
        <w:rPr/>
        <w:t>6.1. Podstawowe przedsięwzięcia rewitalizacyjne</w:t>
      </w:r>
      <w:bookmarkEnd w:id="60"/>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1</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Rynek – bijące serce Nowego Miasteczka</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 w:ascii="Aptos" w:hAnsi="Aptos"/>
                <w:kern w:val="2"/>
                <w:sz w:val="22"/>
                <w:szCs w:val="22"/>
                <w:lang w:val="pl-PL" w:eastAsia="en-US" w:bidi="ar-SA"/>
              </w:rPr>
              <w:t>Cykl wydarzeń organizowanych w obrębie uporządkowanego i uspokojonego Rynku w Nowym Miasteczku, np. weekendowe śniadanie na leżakach, pop up shop gastronomiczny, garażówka, warsztaty dla różnych grup organizowane przez GOK na świeżym powietrzu.</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Aktywizacja lokalnej społeczności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Poszerzenie form spędzania wolnego czasu przez mieszkańców</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zorganizowanych wydarzeń</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osób uczestniczących w wydarzeniach</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Nadanie Rynkowi charakteru kulturalnego, społecznego i gospodarczego centrum Nowego Miasteczka</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Wzmacnianie poczucia tożsamości lokalnej wśród mieszkańców obszaru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Obręb 1 (0001); Działka 232/3</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Gmina Nowe Miasteczko</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150 000 zł</w:t>
            </w:r>
          </w:p>
        </w:tc>
      </w:tr>
      <w:tr>
        <w:trPr>
          <w:trHeight w:val="584" w:hRule="atLeast"/>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2026-2035</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Spełnianie wymogów dostępności cyfrowej i informacyjno-komunikacyjnej podczas promowania działań przewidzianych do realizacji w ramach przedsięwzięcia; organizacja wydarzeń w otwartych i ogólnodostępnych przestrzeniach.</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2</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Domowa regeneracja z sercem</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0" w:after="160"/>
              <w:rPr>
                <w:rFonts w:cs="Times New Roman"/>
              </w:rPr>
            </w:pPr>
            <w:r>
              <w:rPr>
                <w:rStyle w:val="resultpara2"/>
                <w:rFonts w:eastAsia="Aptos" w:cs="Times New Roman"/>
                <w:bCs/>
                <w:kern w:val="2"/>
                <w:sz w:val="22"/>
                <w:szCs w:val="22"/>
                <w:lang w:val="pl-PL" w:eastAsia="en-US" w:bidi="ar-SA"/>
              </w:rPr>
              <w:t>Usługa ta ma na celu wsparcie mieszkańców obszaru rewitalizacji w zachowaniu</w:t>
            </w:r>
            <w:r>
              <w:rPr>
                <w:rStyle w:val="resultpara2"/>
                <w:rFonts w:eastAsia="Aptos" w:cs="Times New Roman"/>
                <w:kern w:val="2"/>
                <w:sz w:val="22"/>
                <w:szCs w:val="22"/>
                <w:lang w:val="pl-PL" w:eastAsia="en-US" w:bidi="ar-SA"/>
              </w:rPr>
              <w:t xml:space="preserve">, </w:t>
            </w:r>
            <w:r>
              <w:rPr>
                <w:rStyle w:val="resultpara2"/>
                <w:rFonts w:eastAsia="Aptos" w:cs="Times New Roman"/>
                <w:bCs/>
                <w:kern w:val="2"/>
                <w:sz w:val="22"/>
                <w:szCs w:val="22"/>
                <w:lang w:val="pl-PL" w:eastAsia="en-US" w:bidi="ar-SA"/>
              </w:rPr>
              <w:t>poprawie</w:t>
            </w:r>
            <w:r>
              <w:rPr>
                <w:rStyle w:val="resultpara2"/>
                <w:rFonts w:eastAsia="Aptos" w:cs="Times New Roman"/>
                <w:kern w:val="2"/>
                <w:sz w:val="22"/>
                <w:szCs w:val="22"/>
                <w:lang w:val="pl-PL" w:eastAsia="en-US" w:bidi="ar-SA"/>
              </w:rPr>
              <w:t xml:space="preserve"> lub </w:t>
            </w:r>
            <w:r>
              <w:rPr>
                <w:rStyle w:val="resultpara2"/>
                <w:rFonts w:eastAsia="Aptos" w:cs="Times New Roman"/>
                <w:bCs/>
                <w:kern w:val="2"/>
                <w:sz w:val="22"/>
                <w:szCs w:val="22"/>
                <w:lang w:val="pl-PL" w:eastAsia="en-US" w:bidi="ar-SA"/>
              </w:rPr>
              <w:t>osiągnięciu</w:t>
            </w:r>
            <w:r>
              <w:rPr>
                <w:rStyle w:val="resultpara2"/>
                <w:rFonts w:eastAsia="Aptos" w:cs="Times New Roman"/>
                <w:kern w:val="2"/>
                <w:sz w:val="22"/>
                <w:szCs w:val="22"/>
                <w:lang w:val="pl-PL" w:eastAsia="en-US" w:bidi="ar-SA"/>
              </w:rPr>
              <w:t xml:space="preserve"> pełnej sprawności fizycznej, korygowaniu </w:t>
            </w:r>
            <w:r>
              <w:rPr>
                <w:rStyle w:val="resultpara2"/>
                <w:rFonts w:eastAsia="Aptos" w:cs="Times New Roman"/>
                <w:bCs/>
                <w:kern w:val="2"/>
                <w:sz w:val="22"/>
                <w:szCs w:val="22"/>
                <w:lang w:val="pl-PL" w:eastAsia="en-US" w:bidi="ar-SA"/>
              </w:rPr>
              <w:t>problemów z postawą</w:t>
            </w:r>
            <w:r>
              <w:rPr>
                <w:rStyle w:val="resultpara2"/>
                <w:rFonts w:eastAsia="Aptos" w:cs="Times New Roman"/>
                <w:kern w:val="2"/>
                <w:sz w:val="22"/>
                <w:szCs w:val="22"/>
                <w:lang w:val="pl-PL" w:eastAsia="en-US" w:bidi="ar-SA"/>
              </w:rPr>
              <w:t xml:space="preserve">, </w:t>
            </w:r>
            <w:r>
              <w:rPr>
                <w:rStyle w:val="resultpara2"/>
                <w:rFonts w:eastAsia="Aptos" w:cs="Times New Roman"/>
                <w:bCs/>
                <w:kern w:val="2"/>
                <w:sz w:val="22"/>
                <w:szCs w:val="22"/>
                <w:lang w:val="pl-PL" w:eastAsia="en-US" w:bidi="ar-SA"/>
              </w:rPr>
              <w:t>stymulowaniu</w:t>
            </w:r>
            <w:r>
              <w:rPr>
                <w:rStyle w:val="resultpara2"/>
                <w:rFonts w:eastAsia="Aptos" w:cs="Times New Roman"/>
                <w:kern w:val="2"/>
                <w:sz w:val="22"/>
                <w:szCs w:val="22"/>
                <w:lang w:val="pl-PL" w:eastAsia="en-US" w:bidi="ar-SA"/>
              </w:rPr>
              <w:t xml:space="preserve"> oraz </w:t>
            </w:r>
            <w:r>
              <w:rPr>
                <w:rStyle w:val="resultpara2"/>
                <w:rFonts w:eastAsia="Aptos" w:cs="Times New Roman"/>
                <w:bCs/>
                <w:kern w:val="2"/>
                <w:sz w:val="22"/>
                <w:szCs w:val="22"/>
                <w:lang w:val="pl-PL" w:eastAsia="en-US" w:bidi="ar-SA"/>
              </w:rPr>
              <w:t xml:space="preserve">poprawie funkcji układu </w:t>
            </w:r>
            <w:r>
              <w:rPr>
                <w:rStyle w:val="resultpara2"/>
                <w:rFonts w:eastAsia="Aptos" w:cs="Times New Roman"/>
                <w:kern w:val="2"/>
                <w:sz w:val="22"/>
                <w:szCs w:val="22"/>
                <w:lang w:val="pl-PL" w:eastAsia="en-US" w:bidi="ar-SA"/>
              </w:rPr>
              <w:t xml:space="preserve">nerwowego, oddechowego i </w:t>
            </w:r>
            <w:r>
              <w:rPr>
                <w:rStyle w:val="resultpara2"/>
                <w:rFonts w:eastAsia="Aptos" w:cs="Times New Roman"/>
                <w:bCs/>
                <w:kern w:val="2"/>
                <w:sz w:val="22"/>
                <w:szCs w:val="22"/>
                <w:lang w:val="pl-PL" w:eastAsia="en-US" w:bidi="ar-SA"/>
              </w:rPr>
              <w:t xml:space="preserve">krążeniowego. </w:t>
            </w:r>
            <w:r>
              <w:rPr>
                <w:rFonts w:eastAsia="Aptos" w:cs="Times New Roman"/>
                <w:bCs/>
                <w:kern w:val="2"/>
                <w:sz w:val="22"/>
                <w:szCs w:val="22"/>
                <w:lang w:val="pl-PL" w:eastAsia="en-US" w:bidi="ar-SA"/>
              </w:rPr>
              <w:t xml:space="preserve">Ćwiczenia będą dostosowane do wieku i stanu zdrowia seniora, dziecka oraz osób z niepełnosprawnością. </w:t>
            </w:r>
            <w:r>
              <w:rPr>
                <w:rStyle w:val="resultpara4"/>
                <w:rFonts w:eastAsia="Aptos" w:cs="Times New Roman"/>
                <w:bCs/>
                <w:kern w:val="2"/>
                <w:sz w:val="22"/>
                <w:szCs w:val="22"/>
                <w:lang w:val="pl-PL" w:eastAsia="en-US" w:bidi="ar-SA"/>
              </w:rPr>
              <w:t>Dodatkowo</w:t>
            </w:r>
            <w:r>
              <w:rPr>
                <w:rFonts w:eastAsia="Aptos" w:cs="Times New Roman"/>
                <w:kern w:val="2"/>
                <w:sz w:val="22"/>
                <w:szCs w:val="22"/>
                <w:lang w:val="pl-PL" w:eastAsia="en-US" w:bidi="ar-SA"/>
              </w:rPr>
              <w:t xml:space="preserve"> przedsięwzięcie ukierunkowane</w:t>
            </w:r>
            <w:r>
              <w:rPr>
                <w:rFonts w:eastAsia="Aptos" w:cs="Times New Roman"/>
                <w:bCs/>
                <w:kern w:val="2"/>
                <w:sz w:val="22"/>
                <w:szCs w:val="22"/>
                <w:lang w:val="pl-PL" w:eastAsia="en-US" w:bidi="ar-SA"/>
              </w:rPr>
              <w:t xml:space="preserve"> jest na </w:t>
            </w:r>
            <w:r>
              <w:rPr>
                <w:rFonts w:eastAsia="Aptos" w:cs="Times New Roman"/>
                <w:kern w:val="2"/>
                <w:sz w:val="22"/>
                <w:szCs w:val="22"/>
                <w:lang w:val="pl-PL" w:eastAsia="en-US" w:bidi="ar-SA"/>
              </w:rPr>
              <w:t xml:space="preserve">przystosowanie osób z niepełnosprawnością do </w:t>
            </w:r>
            <w:r>
              <w:rPr>
                <w:rFonts w:eastAsia="Aptos" w:cs="Times New Roman"/>
                <w:bCs/>
                <w:kern w:val="2"/>
                <w:sz w:val="22"/>
                <w:szCs w:val="22"/>
                <w:lang w:val="pl-PL" w:eastAsia="en-US" w:bidi="ar-SA"/>
              </w:rPr>
              <w:t>jak najbardziej</w:t>
            </w:r>
            <w:r>
              <w:rPr>
                <w:rFonts w:eastAsia="Aptos" w:cs="Times New Roman"/>
                <w:kern w:val="2"/>
                <w:sz w:val="22"/>
                <w:szCs w:val="22"/>
                <w:lang w:val="pl-PL" w:eastAsia="en-US" w:bidi="ar-SA"/>
              </w:rPr>
              <w:t xml:space="preserve"> samodzielnego życia </w:t>
            </w:r>
            <w:r>
              <w:rPr>
                <w:rFonts w:eastAsia="Aptos" w:cs="Times New Roman"/>
                <w:bCs/>
                <w:kern w:val="2"/>
                <w:sz w:val="22"/>
                <w:szCs w:val="22"/>
                <w:lang w:val="pl-PL" w:eastAsia="en-US" w:bidi="ar-SA"/>
              </w:rPr>
              <w:t>oraz edukację, która ma na celu wykształcenie</w:t>
            </w:r>
            <w:r>
              <w:rPr>
                <w:rFonts w:eastAsia="Aptos" w:cs="Times New Roman"/>
                <w:kern w:val="2"/>
                <w:sz w:val="22"/>
                <w:szCs w:val="22"/>
                <w:lang w:val="pl-PL" w:eastAsia="en-US" w:bidi="ar-SA"/>
              </w:rPr>
              <w:t xml:space="preserve"> nawyków </w:t>
            </w:r>
            <w:r>
              <w:rPr>
                <w:rFonts w:eastAsia="Aptos" w:cs="Times New Roman"/>
                <w:bCs/>
                <w:kern w:val="2"/>
                <w:sz w:val="22"/>
                <w:szCs w:val="22"/>
                <w:lang w:val="pl-PL" w:eastAsia="en-US" w:bidi="ar-SA"/>
              </w:rPr>
              <w:t>potrzebnych</w:t>
            </w:r>
            <w:r>
              <w:rPr>
                <w:rFonts w:eastAsia="Aptos" w:cs="Times New Roman"/>
                <w:kern w:val="2"/>
                <w:sz w:val="22"/>
                <w:szCs w:val="22"/>
                <w:lang w:val="pl-PL" w:eastAsia="en-US" w:bidi="ar-SA"/>
              </w:rPr>
              <w:t xml:space="preserve"> do </w:t>
            </w:r>
            <w:r>
              <w:rPr>
                <w:rFonts w:eastAsia="Aptos" w:cs="Times New Roman"/>
                <w:bCs/>
                <w:kern w:val="2"/>
                <w:sz w:val="22"/>
                <w:szCs w:val="22"/>
                <w:lang w:val="pl-PL" w:eastAsia="en-US" w:bidi="ar-SA"/>
              </w:rPr>
              <w:t>zapobiegania pogłębianiu</w:t>
            </w:r>
            <w:r>
              <w:rPr>
                <w:rFonts w:eastAsia="Aptos" w:cs="Times New Roman"/>
                <w:kern w:val="2"/>
                <w:sz w:val="22"/>
                <w:szCs w:val="22"/>
                <w:lang w:val="pl-PL" w:eastAsia="en-US" w:bidi="ar-SA"/>
              </w:rPr>
              <w:t xml:space="preserve"> się dysfunkcji. </w:t>
            </w:r>
            <w:r>
              <w:rPr>
                <w:rStyle w:val="resultpara6"/>
                <w:rFonts w:eastAsia="Aptos" w:cs="Times New Roman"/>
                <w:kern w:val="2"/>
                <w:sz w:val="22"/>
                <w:szCs w:val="22"/>
                <w:lang w:val="pl-PL" w:eastAsia="en-US" w:bidi="ar-SA"/>
              </w:rPr>
              <w:t>Specjalistyczna mobilna usługa przywróci aktywność i zachęci do powrotu do sprawności ruchowej.</w:t>
            </w:r>
            <w:r>
              <w:rPr>
                <w:rFonts w:eastAsia="Aptos" w:cs="Times New Roman"/>
                <w:kern w:val="2"/>
                <w:sz w:val="22"/>
                <w:szCs w:val="22"/>
                <w:lang w:val="pl-PL" w:eastAsia="en-US" w:bidi="ar-SA"/>
              </w:rPr>
              <w:t xml:space="preserve"> </w:t>
            </w:r>
            <w:r>
              <w:rPr>
                <w:rStyle w:val="resultpara8"/>
                <w:rFonts w:eastAsia="Aptos" w:cs="Times New Roman"/>
                <w:kern w:val="2"/>
                <w:sz w:val="22"/>
                <w:szCs w:val="22"/>
                <w:lang w:val="pl-PL" w:eastAsia="en-US" w:bidi="ar-SA"/>
              </w:rPr>
              <w:t xml:space="preserve">Usługa </w:t>
            </w:r>
            <w:r>
              <w:rPr>
                <w:rStyle w:val="resultpara8"/>
                <w:rFonts w:eastAsia="Aptos" w:cs="Times New Roman"/>
                <w:bCs/>
                <w:kern w:val="2"/>
                <w:sz w:val="22"/>
                <w:szCs w:val="22"/>
                <w:lang w:val="pl-PL" w:eastAsia="en-US" w:bidi="ar-SA"/>
              </w:rPr>
              <w:t>ta</w:t>
            </w:r>
            <w:r>
              <w:rPr>
                <w:rStyle w:val="resultpara8"/>
                <w:rFonts w:eastAsia="Aptos" w:cs="Times New Roman"/>
                <w:kern w:val="2"/>
                <w:sz w:val="22"/>
                <w:szCs w:val="22"/>
                <w:lang w:val="pl-PL" w:eastAsia="en-US" w:bidi="ar-SA"/>
              </w:rPr>
              <w:t xml:space="preserve"> jest </w:t>
            </w:r>
            <w:r>
              <w:rPr>
                <w:rStyle w:val="resultpara8"/>
                <w:rFonts w:eastAsia="Aptos" w:cs="Times New Roman"/>
                <w:bCs/>
                <w:kern w:val="2"/>
                <w:sz w:val="22"/>
                <w:szCs w:val="22"/>
                <w:lang w:val="pl-PL" w:eastAsia="en-US" w:bidi="ar-SA"/>
              </w:rPr>
              <w:t xml:space="preserve">adresowana </w:t>
            </w:r>
            <w:r>
              <w:rPr>
                <w:rStyle w:val="resultpara8"/>
                <w:rFonts w:eastAsia="Aptos" w:cs="Times New Roman"/>
                <w:kern w:val="2"/>
                <w:sz w:val="22"/>
                <w:szCs w:val="22"/>
                <w:lang w:val="pl-PL" w:eastAsia="en-US" w:bidi="ar-SA"/>
              </w:rPr>
              <w:t>do rodzin</w:t>
            </w:r>
            <w:r>
              <w:rPr>
                <w:rStyle w:val="resultpara8"/>
                <w:rFonts w:eastAsia="Aptos" w:cs="Times New Roman"/>
                <w:bCs/>
                <w:kern w:val="2"/>
                <w:sz w:val="22"/>
                <w:szCs w:val="22"/>
                <w:lang w:val="pl-PL" w:eastAsia="en-US" w:bidi="ar-SA"/>
              </w:rPr>
              <w:t xml:space="preserve">, </w:t>
            </w:r>
            <w:r>
              <w:rPr>
                <w:rStyle w:val="resultpara8"/>
                <w:rFonts w:eastAsia="Aptos" w:cs="Times New Roman"/>
                <w:kern w:val="2"/>
                <w:sz w:val="22"/>
                <w:szCs w:val="22"/>
                <w:lang w:val="pl-PL" w:eastAsia="en-US" w:bidi="ar-SA"/>
              </w:rPr>
              <w:t xml:space="preserve">w tym rodzin z dziećmi, </w:t>
            </w:r>
            <w:r>
              <w:rPr>
                <w:rStyle w:val="resultpara8"/>
                <w:rFonts w:eastAsia="Aptos" w:cs="Times New Roman"/>
                <w:bCs/>
                <w:kern w:val="2"/>
                <w:sz w:val="22"/>
                <w:szCs w:val="22"/>
                <w:lang w:val="pl-PL" w:eastAsia="en-US" w:bidi="ar-SA"/>
              </w:rPr>
              <w:t xml:space="preserve">seniorów oraz </w:t>
            </w:r>
            <w:r>
              <w:rPr>
                <w:rStyle w:val="resultpara8"/>
                <w:rFonts w:eastAsia="Aptos" w:cs="Times New Roman"/>
                <w:kern w:val="2"/>
                <w:sz w:val="22"/>
                <w:szCs w:val="22"/>
                <w:lang w:val="pl-PL" w:eastAsia="en-US" w:bidi="ar-SA"/>
              </w:rPr>
              <w:t xml:space="preserve">osób z </w:t>
            </w:r>
            <w:r>
              <w:rPr>
                <w:rStyle w:val="resultpara8"/>
                <w:rFonts w:eastAsia="Aptos" w:cs="Times New Roman"/>
                <w:bCs/>
                <w:kern w:val="2"/>
                <w:sz w:val="22"/>
                <w:szCs w:val="22"/>
                <w:lang w:val="pl-PL" w:eastAsia="en-US" w:bidi="ar-SA"/>
              </w:rPr>
              <w:t>niepełnosprawnościami</w:t>
            </w:r>
            <w:r>
              <w:rPr>
                <w:rFonts w:eastAsia="Aptos" w:cs="Times New Roman"/>
                <w:kern w:val="2"/>
                <w:sz w:val="22"/>
                <w:szCs w:val="22"/>
                <w:lang w:val="pl-PL" w:eastAsia="en-US" w:bidi="ar-SA"/>
              </w:rPr>
              <w:t>.</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Wzrost poziomu integracji społecznej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Innowacje w działaniach dotyczących włączenia społecznego</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Poprawa stanu zdrowia i samopoczucia mieszkańców</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osób korzystających z usługi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Kompleksowe wsparcie rodzin, dzieci i młodzieży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Wielokierunkowe wsparcie seniorów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Cały obszar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Ośrodek Pomocy Społecznej w Nowym Miasteczku</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54 720 zł</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2028-2029</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Przedsięwzięcie jest ukierunkowane na świadczenie usług, których naturalną grupą docelową są osoby ze szczególnymi potrzebami.</w:t>
            </w:r>
          </w:p>
        </w:tc>
      </w:tr>
    </w:tbl>
    <w:p>
      <w:pPr>
        <w:pStyle w:val="Normal"/>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3</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Złota rączka</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 ramach przedsięwzięcia udzielane będzie wsparcie techniczne oraz świadczone będą drobne prace naprawcze w mieszkaniach osób w podeszłym wieku, żyjących samotnie lub z ograniczeniami sprawności. Ta forma pomocy jest skierowana do mieszkańców, którzy nie są sami samodzielnie dokonać napraw w swoim domu. Przykładowy zakres usług „złotej rączki”: naprawa zamków w drzwiach, naprawa mocowań, zakładanie nowych żarówek, naprawa cieknących kranów itp.</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Wzrost poziomu integracji społecznej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Poprawa stanu zasobu mieszkaniowego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gospodarstw domowych korzystających z usługi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wykonanych napraw</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Wielokierunkowe wsparcie seniorów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Cały obszar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Ośrodek Pomocy Społecznej w Nowym Miasteczku</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45 980 zł</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2026-2027</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Przedsięwzięcie jest ukierunkowane na świadczenie usług, których naturalną grupą docelową są osoby ze szczególnymi potrzebami, w tym z problemami z poruszaniem się.</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4</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Usługa od drzwi do drzwi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Nowoczesna forma transportu skierowana do wszystkich pełnoletnich mieszkańców Gminy Nowe Miasteczko, która polega na indywidualnym przewozie od drzwi do drzwi. Do tej pory usługa świadczona była dla osób powyżej 60. roku życia, z niepełnosprawnością oraz dla osób z widocznym problemem w poruszaniu się. W ramach poszerzenia planuje się skierować usługę dla wszystkich mieszkańców powyżej 18. roku życia.</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Wzrost poziomu integracji społecznej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osób korzystających z usługi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Kompleksowe wsparcie rodzin, dzieci i młodzieży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Wielokierunkowe wsparcie seniorów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Cały obszar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Ośrodek Pomocy Społecznej w Nowym Miasteczku</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1 000 000 zł</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2026-2035</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Przedsięwzięcie jest ukierunkowane na świadczenie usług, których naturalną grupą docelową są osoby ze szczególnymi potrzebami, w tym z problemami z poruszaniem się.</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5</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Świetlica w Niecieczy miejscem aktywności wszystkich mieszkańców</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 w:ascii="Aptos" w:hAnsi="Aptos"/>
                <w:kern w:val="2"/>
                <w:sz w:val="22"/>
                <w:szCs w:val="22"/>
                <w:lang w:val="pl-PL" w:eastAsia="en-US" w:bidi="ar-SA"/>
              </w:rPr>
              <w:t>Opracowanie i realizacja programu działalności nowo utworzonej świetlicy wiejskiej w miejscowości Nieciecz. Zakres obejmował będzie włączenie lokalnej społeczności w prace nad zaprojektowaniem działalności świetlicy, tak by w możliwie najpełniejszym stopniu odpowiadała ona na potrzeby mieszkańców. W programie świetlicy znajdą się zajęcia dla różnych grup wiekowych. Będą to wydarzenia organizowane zarówno przez Gminny Ośrodek Kultury, jak i proponowane i organizowane oddolnie przez mieszkańców.</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Wzrost poziomu integracji społecznej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Aktywizacja lokalnej społeczności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Poszerzenie form spędzania wolnego czasu przez mieszkańców</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zorganizowanych wydarzeń o charakterze społeczno-kulturalnym</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osób uczestniczących w wydarzeniach</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Animowanie aktywności obywatelskiej poprzez włączanie mieszkańców we wdrażanie działań rewitalizacyjnych</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Wzmacnianie poczucia tożsamości lokalnej wśród mieszkańców obszaru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Obszar rewitalizacji w Niecieczy</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Gminny Ośrodek Kultury w Nowym Miasteczku</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200 000 zł</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2028-2035</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Spełnianie wymogów dostępności cyfrowej i informacyjno-komunikacyjnej podczas promowania działań przewidzianych do realizacji w ramach przedsięwzięcia. Wydarzenia będą prowadzone w formach możliwych do udziału także dla osób z ograniczoną mobilnością lub percepcją.</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6</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Stworzenie przez Gminę preferencyjnych warunków dla przedsiębiorcy gotowego prowadzić lokal gastronomiczny w Nowym Miasteczku</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Opracowanie zasad współpracy Gminy z przedsiębiorcą mogącym prowadzić w Nowym Miasteczku lokal gastronomiczny: od aktywnego poszukiwania inwestora, przez wspólne opracowanie koncepcji lokalu, zapewnienie preferencyjnych warunków (np. ulg w opłatach lokalnych).</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Ożywienie gospodarcze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Poszerzenie oferty gastronomicznej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Wzrost poziomu integracji społecznej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Liczba nowo utworzonych działalności gospodarczych w zakresie gastronomii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Wspieranie przedsiębiorczości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Nadanie Rynkowi charakteru kulturalnego, społecznego i gospodarczego centrum Nowego Miasteczka</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Obręb 1 (0001); Działka 232/3</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Gmina Nowe Miasteczko</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5 000</w:t>
            </w:r>
            <w:r>
              <w:rPr>
                <w:rFonts w:eastAsia="Aptos" w:cs="Arial" w:ascii="Aptos" w:hAnsi="Aptos"/>
                <w:kern w:val="2"/>
                <w:sz w:val="22"/>
                <w:szCs w:val="22"/>
                <w:lang w:val="pl-PL" w:eastAsia="en-US" w:bidi="ar-SA"/>
              </w:rPr>
              <w:t xml:space="preserve"> zł</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2026-2029</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Gmina zobowiąże realizatora projektu do zapewnienia w lokalu udogodnień dla osób ze szczególnymi potrzebami.</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7</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 xml:space="preserve">Placówka wsparcia dziennego dla dzieci i młodzieży </w:t>
            </w:r>
            <w:r>
              <w:rPr>
                <w:rFonts w:eastAsia="Aptos" w:cs="" w:ascii="Aptos" w:hAnsi="Aptos"/>
                <w:kern w:val="2"/>
                <w:sz w:val="22"/>
                <w:szCs w:val="22"/>
                <w:lang w:val="pl-PL" w:eastAsia="en-US" w:bidi="ar-SA"/>
              </w:rPr>
              <w:t>–</w:t>
            </w:r>
            <w:r>
              <w:rPr>
                <w:rFonts w:eastAsia="Aptos" w:cs="Arial" w:ascii="Aptos" w:hAnsi="Aptos"/>
                <w:b/>
                <w:bCs/>
                <w:kern w:val="2"/>
                <w:sz w:val="22"/>
                <w:szCs w:val="22"/>
                <w:lang w:val="pl-PL" w:eastAsia="en-US" w:bidi="ar-SA"/>
              </w:rPr>
              <w:t xml:space="preserve"> Świetlica socjoterapeutyczna</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0" w:after="160"/>
              <w:rPr>
                <w:rFonts w:cs="Times New Roman"/>
              </w:rPr>
            </w:pPr>
            <w:r>
              <w:rPr>
                <w:rFonts w:eastAsia="Aptos" w:cs="Times New Roman"/>
                <w:kern w:val="2"/>
                <w:sz w:val="22"/>
                <w:szCs w:val="22"/>
                <w:lang w:val="pl-PL" w:eastAsia="en-US" w:bidi="ar-SA"/>
              </w:rPr>
              <w:t>Świetlica socjoterapeutyczna (placówka wsparcia dziennego)</w:t>
            </w:r>
            <w:r>
              <w:rPr>
                <w:rStyle w:val="resultpara2"/>
                <w:rFonts w:eastAsia="Aptos" w:cs="Times New Roman"/>
                <w:bCs/>
                <w:kern w:val="2"/>
                <w:sz w:val="22"/>
                <w:szCs w:val="22"/>
                <w:lang w:val="pl-PL" w:eastAsia="en-US" w:bidi="ar-SA"/>
              </w:rPr>
              <w:t xml:space="preserve"> to oferta</w:t>
            </w:r>
            <w:r>
              <w:rPr>
                <w:rStyle w:val="resultpara2"/>
                <w:rFonts w:eastAsia="Aptos" w:cs="Times New Roman"/>
                <w:kern w:val="2"/>
                <w:sz w:val="22"/>
                <w:szCs w:val="22"/>
                <w:lang w:val="pl-PL" w:eastAsia="en-US" w:bidi="ar-SA"/>
              </w:rPr>
              <w:t xml:space="preserve"> dla dzieci </w:t>
            </w:r>
            <w:r>
              <w:rPr>
                <w:rStyle w:val="resultpara2"/>
                <w:rFonts w:eastAsia="Aptos" w:cs="Times New Roman"/>
                <w:bCs/>
                <w:kern w:val="2"/>
                <w:sz w:val="22"/>
                <w:szCs w:val="22"/>
                <w:lang w:val="pl-PL" w:eastAsia="en-US" w:bidi="ar-SA"/>
              </w:rPr>
              <w:t>oraz</w:t>
            </w:r>
            <w:r>
              <w:rPr>
                <w:rStyle w:val="resultpara2"/>
                <w:rFonts w:eastAsia="Aptos" w:cs="Times New Roman"/>
                <w:kern w:val="2"/>
                <w:sz w:val="22"/>
                <w:szCs w:val="22"/>
                <w:lang w:val="pl-PL" w:eastAsia="en-US" w:bidi="ar-SA"/>
              </w:rPr>
              <w:t xml:space="preserve"> młodzieży</w:t>
            </w:r>
            <w:r>
              <w:rPr>
                <w:rStyle w:val="resultpara2"/>
                <w:rFonts w:eastAsia="Aptos" w:cs="Times New Roman"/>
                <w:bCs/>
                <w:kern w:val="2"/>
                <w:sz w:val="22"/>
                <w:szCs w:val="22"/>
                <w:lang w:val="pl-PL" w:eastAsia="en-US" w:bidi="ar-SA"/>
              </w:rPr>
              <w:t xml:space="preserve">, które pochodzą </w:t>
            </w:r>
            <w:r>
              <w:rPr>
                <w:rStyle w:val="resultpara2"/>
                <w:rFonts w:eastAsia="Aptos" w:cs="Times New Roman"/>
                <w:kern w:val="2"/>
                <w:sz w:val="22"/>
                <w:szCs w:val="22"/>
                <w:lang w:val="pl-PL" w:eastAsia="en-US" w:bidi="ar-SA"/>
              </w:rPr>
              <w:t xml:space="preserve">z rodzin </w:t>
            </w:r>
            <w:r>
              <w:rPr>
                <w:rStyle w:val="resultpara2"/>
                <w:rFonts w:eastAsia="Aptos" w:cs="Times New Roman"/>
                <w:bCs/>
                <w:kern w:val="2"/>
                <w:sz w:val="22"/>
                <w:szCs w:val="22"/>
                <w:lang w:val="pl-PL" w:eastAsia="en-US" w:bidi="ar-SA"/>
              </w:rPr>
              <w:t>wystawionych na ryzyko społecznego wykluczenia</w:t>
            </w:r>
            <w:r>
              <w:rPr>
                <w:rStyle w:val="resultpara2"/>
                <w:rFonts w:eastAsia="Aptos" w:cs="Times New Roman"/>
                <w:kern w:val="2"/>
                <w:sz w:val="22"/>
                <w:szCs w:val="22"/>
                <w:lang w:val="pl-PL" w:eastAsia="en-US" w:bidi="ar-SA"/>
              </w:rPr>
              <w:t xml:space="preserve">, </w:t>
            </w:r>
            <w:r>
              <w:rPr>
                <w:rStyle w:val="resultpara2"/>
                <w:rFonts w:eastAsia="Aptos" w:cs="Times New Roman"/>
                <w:bCs/>
                <w:kern w:val="2"/>
                <w:sz w:val="22"/>
                <w:szCs w:val="22"/>
                <w:lang w:val="pl-PL" w:eastAsia="en-US" w:bidi="ar-SA"/>
              </w:rPr>
              <w:t>przemoc</w:t>
            </w:r>
            <w:r>
              <w:rPr>
                <w:rStyle w:val="resultpara2"/>
                <w:rFonts w:eastAsia="Aptos" w:cs="Times New Roman"/>
                <w:kern w:val="2"/>
                <w:sz w:val="22"/>
                <w:szCs w:val="22"/>
                <w:lang w:val="pl-PL" w:eastAsia="en-US" w:bidi="ar-SA"/>
              </w:rPr>
              <w:t xml:space="preserve">, </w:t>
            </w:r>
            <w:r>
              <w:rPr>
                <w:rStyle w:val="resultpara2"/>
                <w:rFonts w:eastAsia="Aptos" w:cs="Times New Roman"/>
                <w:bCs/>
                <w:kern w:val="2"/>
                <w:sz w:val="22"/>
                <w:szCs w:val="22"/>
                <w:lang w:val="pl-PL" w:eastAsia="en-US" w:bidi="ar-SA"/>
              </w:rPr>
              <w:t>ubóstwo czy trudności wychowawcze</w:t>
            </w:r>
            <w:r>
              <w:rPr>
                <w:rStyle w:val="resultpara2"/>
                <w:rFonts w:eastAsia="Aptos" w:cs="Times New Roman"/>
                <w:kern w:val="2"/>
                <w:sz w:val="22"/>
                <w:szCs w:val="22"/>
                <w:lang w:val="pl-PL" w:eastAsia="en-US" w:bidi="ar-SA"/>
              </w:rPr>
              <w:t>.</w:t>
            </w:r>
            <w:r>
              <w:rPr>
                <w:rFonts w:eastAsia="Aptos" w:cs="Times New Roman"/>
                <w:kern w:val="2"/>
                <w:sz w:val="22"/>
                <w:szCs w:val="22"/>
                <w:lang w:val="pl-PL" w:eastAsia="en-US" w:bidi="ar-SA"/>
              </w:rPr>
              <w:t xml:space="preserve"> </w:t>
            </w:r>
            <w:r>
              <w:rPr>
                <w:rStyle w:val="resultpara4"/>
                <w:rFonts w:eastAsia="Aptos" w:cs="Times New Roman"/>
                <w:bCs/>
                <w:kern w:val="2"/>
                <w:sz w:val="22"/>
                <w:szCs w:val="22"/>
                <w:lang w:val="pl-PL" w:eastAsia="en-US" w:bidi="ar-SA"/>
              </w:rPr>
              <w:t xml:space="preserve">Placówka </w:t>
            </w:r>
            <w:r>
              <w:rPr>
                <w:rStyle w:val="resultpara4"/>
                <w:rFonts w:eastAsia="Aptos" w:cs="Times New Roman"/>
                <w:kern w:val="2"/>
                <w:sz w:val="22"/>
                <w:szCs w:val="22"/>
                <w:lang w:val="pl-PL" w:eastAsia="en-US" w:bidi="ar-SA"/>
              </w:rPr>
              <w:t xml:space="preserve">będzie </w:t>
            </w:r>
            <w:r>
              <w:rPr>
                <w:rStyle w:val="resultpara4"/>
                <w:rFonts w:eastAsia="Aptos" w:cs="Times New Roman"/>
                <w:bCs/>
                <w:kern w:val="2"/>
                <w:sz w:val="22"/>
                <w:szCs w:val="22"/>
                <w:lang w:val="pl-PL" w:eastAsia="en-US" w:bidi="ar-SA"/>
              </w:rPr>
              <w:t>czynna przez cały tydzień</w:t>
            </w:r>
            <w:r>
              <w:rPr>
                <w:rStyle w:val="resultpara4"/>
                <w:rFonts w:eastAsia="Aptos" w:cs="Times New Roman"/>
                <w:kern w:val="2"/>
                <w:sz w:val="22"/>
                <w:szCs w:val="22"/>
                <w:lang w:val="pl-PL" w:eastAsia="en-US" w:bidi="ar-SA"/>
              </w:rPr>
              <w:t xml:space="preserve"> od </w:t>
            </w:r>
            <w:r>
              <w:rPr>
                <w:rStyle w:val="resultpara4"/>
                <w:rFonts w:eastAsia="Aptos" w:cs="Times New Roman"/>
                <w:bCs/>
                <w:kern w:val="2"/>
                <w:sz w:val="22"/>
                <w:szCs w:val="22"/>
                <w:lang w:val="pl-PL" w:eastAsia="en-US" w:bidi="ar-SA"/>
              </w:rPr>
              <w:t xml:space="preserve">13:00 </w:t>
            </w:r>
            <w:r>
              <w:rPr>
                <w:rStyle w:val="resultpara4"/>
                <w:rFonts w:eastAsia="Aptos" w:cs="Times New Roman"/>
                <w:kern w:val="2"/>
                <w:sz w:val="22"/>
                <w:szCs w:val="22"/>
                <w:lang w:val="pl-PL" w:eastAsia="en-US" w:bidi="ar-SA"/>
              </w:rPr>
              <w:t xml:space="preserve">do </w:t>
            </w:r>
            <w:r>
              <w:rPr>
                <w:rStyle w:val="resultpara4"/>
                <w:rFonts w:eastAsia="Aptos" w:cs="Times New Roman"/>
                <w:bCs/>
                <w:kern w:val="2"/>
                <w:sz w:val="22"/>
                <w:szCs w:val="22"/>
                <w:lang w:val="pl-PL" w:eastAsia="en-US" w:bidi="ar-SA"/>
              </w:rPr>
              <w:t>17:00</w:t>
            </w:r>
            <w:r>
              <w:rPr>
                <w:rStyle w:val="resultpara4"/>
                <w:rFonts w:eastAsia="Aptos" w:cs="Times New Roman"/>
                <w:kern w:val="2"/>
                <w:sz w:val="22"/>
                <w:szCs w:val="22"/>
                <w:lang w:val="pl-PL" w:eastAsia="en-US" w:bidi="ar-SA"/>
              </w:rPr>
              <w:t>.</w:t>
            </w:r>
            <w:r>
              <w:rPr>
                <w:rFonts w:eastAsia="Aptos" w:cs="Times New Roman"/>
                <w:kern w:val="2"/>
                <w:sz w:val="22"/>
                <w:szCs w:val="22"/>
                <w:lang w:val="pl-PL" w:eastAsia="en-US" w:bidi="ar-SA"/>
              </w:rPr>
              <w:t xml:space="preserve"> </w:t>
            </w:r>
            <w:r>
              <w:rPr>
                <w:rStyle w:val="resultpara6"/>
                <w:rFonts w:eastAsia="Aptos" w:cs="Times New Roman"/>
                <w:kern w:val="2"/>
                <w:sz w:val="22"/>
                <w:szCs w:val="22"/>
                <w:lang w:val="pl-PL" w:eastAsia="en-US" w:bidi="ar-SA"/>
              </w:rPr>
              <w:t>Planowane są różnorodne zajęcia socjoterapeutyczne, pomoc w nauce, a także aktywności integracyjne, sportowe i profilaktyczne, szkoła dla rodzica, pomoc psychologiczna, dożywianie dzieci, stała współpraca ze szkołą, asystentem rodziny, pracownikiem socjalnym, kuratorem, sądem i podmiotami leczniczymi, itp.</w:t>
            </w:r>
            <w:r>
              <w:rPr>
                <w:rFonts w:eastAsia="Aptos" w:cs="Times New Roman"/>
                <w:kern w:val="2"/>
                <w:sz w:val="22"/>
                <w:szCs w:val="22"/>
                <w:lang w:val="pl-PL" w:eastAsia="en-US" w:bidi="ar-SA"/>
              </w:rPr>
              <w:t xml:space="preserve"> W ramach działania placówki </w:t>
            </w:r>
            <w:r>
              <w:rPr>
                <w:rStyle w:val="resultpara8"/>
                <w:rFonts w:eastAsia="Aptos" w:cs="Times New Roman"/>
                <w:bCs/>
                <w:kern w:val="2"/>
                <w:sz w:val="22"/>
                <w:szCs w:val="22"/>
                <w:lang w:val="pl-PL" w:eastAsia="en-US" w:bidi="ar-SA"/>
              </w:rPr>
              <w:t>uwzględniona będzie współpraca</w:t>
            </w:r>
            <w:r>
              <w:rPr>
                <w:rStyle w:val="resultpara8"/>
                <w:rFonts w:eastAsia="Aptos" w:cs="Times New Roman"/>
                <w:kern w:val="2"/>
                <w:sz w:val="22"/>
                <w:szCs w:val="22"/>
                <w:lang w:val="pl-PL" w:eastAsia="en-US" w:bidi="ar-SA"/>
              </w:rPr>
              <w:t xml:space="preserve"> z </w:t>
            </w:r>
            <w:r>
              <w:rPr>
                <w:rStyle w:val="resultpara8"/>
                <w:rFonts w:eastAsia="Aptos" w:cs="Times New Roman"/>
                <w:bCs/>
                <w:kern w:val="2"/>
                <w:sz w:val="22"/>
                <w:szCs w:val="22"/>
                <w:lang w:val="pl-PL" w:eastAsia="en-US" w:bidi="ar-SA"/>
              </w:rPr>
              <w:t>rodzinami oraz</w:t>
            </w:r>
            <w:r>
              <w:rPr>
                <w:rStyle w:val="resultpara8"/>
                <w:rFonts w:eastAsia="Aptos" w:cs="Times New Roman"/>
                <w:kern w:val="2"/>
                <w:sz w:val="22"/>
                <w:szCs w:val="22"/>
                <w:lang w:val="pl-PL" w:eastAsia="en-US" w:bidi="ar-SA"/>
              </w:rPr>
              <w:t xml:space="preserve"> opiekunami dzieci.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Wzrost poziomu integracji społecznej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Innowacje w działaniach dotyczących włączenia społecznego</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utworzonych placówek wsparcia dziennego</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osób korzystających z placówki wsparcia dziennego</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Kompleksowe wsparcie rodzin, dzieci i młodzieży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Obręb 1 (0001); Działka 369/2</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Ośrodek Pomocy Społecznej w Nowym Miasteczku</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100 000 zł</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2026-2027</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Przedsięwzięcie jest ukierunkowane na świadczenie usług, z których korzystać będą również osoby ze specjalnymi potrzebami.</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8</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 xml:space="preserve">Młodzi u siebie – </w:t>
            </w:r>
            <w:r>
              <w:rPr>
                <w:rFonts w:eastAsia="Aptos" w:cs="" w:ascii="Aptos" w:hAnsi="Aptos"/>
                <w:b/>
                <w:bCs/>
                <w:kern w:val="2"/>
                <w:sz w:val="22"/>
                <w:szCs w:val="22"/>
                <w:lang w:val="pl-PL" w:eastAsia="en-US" w:bidi="ar-SA"/>
              </w:rPr>
              <w:t>utworzenie, wyposażenie i zaprojektowanie oferty miejsca spotkań i aktywności młodzieży</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Projekt w pierwszej fazie polegał będzie na zorganizowaniu działań partycypacyjnych polegających na zaangażowaniu młodzieży w zaprojektowanie miejsca spotkań i aktywności: od wyboru nazwy i identyfikacji wizualnej, przez zaproponowanie konkretnych wydarzeń, po zaprojektowanie przestrzeni i wyposażenia. Druga faza polegać będzie na wdrożeniu wybranych rozwiązań. W czasie funkcjonowania miejsca spotkań młodzież, przy pomocy organizacyjnej Gminnego Ośrodka Kultury, będzie odpowiedzialna za opracowywanie i organizowanie wydarzeń.</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Wzrost poziomu integracji społecznej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Aktywizacja lokalnej społeczności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Poszerzenie form spędzania wolnego czasu przez mieszkańców</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nowo utworzonych miejsc integracji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zorganizowanych wydarzeń społeczno-kulturalnych</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Kompleksowe wsparcie rodzin, dzieci i młodzieży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Animowanie aktywności obywatelskiej poprzez włączanie mieszkańców we wdrażanie działań rewitalizacyjnych</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Wzmacnianie poczucia tożsamości lokalnej wśród mieszkańców obszaru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Obręb 1 (0001); Działka 369/2</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 xml:space="preserve"> </w:t>
            </w:r>
            <w:r>
              <w:rPr>
                <w:rFonts w:eastAsia="Aptos" w:cs="Arial" w:ascii="Aptos" w:hAnsi="Aptos"/>
                <w:kern w:val="2"/>
                <w:sz w:val="22"/>
                <w:szCs w:val="22"/>
                <w:lang w:val="pl-PL" w:eastAsia="en-US" w:bidi="ar-SA"/>
              </w:rPr>
              <w:t>Ośrodek Pomocy Społecznej w Nowym Miasteczku</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250 000 zł</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2028-2035</w:t>
            </w:r>
          </w:p>
        </w:tc>
      </w:tr>
      <w:tr>
        <w:trPr>
          <w:trHeight w:val="1967" w:hRule="atLeast"/>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Spełnianie wymogów dostępności cyfrowej i informacyjno-komunikacyjnej podczas promowania działań przewidzianych do realizacji w ramach przedsięwzięcia. Obiekt zostanie dostosowany do potrzeb osób ze szczególnymi potrzebami poprzez likwidację barier architektonicznych. Wydarzenia będą prowadzone w formach możliwych do udziału także dla osób z ograniczoną mobilnością lub percepcją, z uwzględnieniem zasad uniwersalnego projektowania.</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9</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Nowe Miasteczko jak z pocztówki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Konserwacja oraz przywrócenie historycznych walorów elewacji budynków zabytkowych w obrębie obszaru rewitalizacji, ze szczególnym uwzględnieniem rynku. Remonty powinny być przeprowadzone w oparciu o studia historyczne zabudowy, poddające analizie historyczny wystrój elewacji budynków zidentyfikowany w materiałach ikonograficznych (w tym pocztówkach) oraz badania stratygraficzne obiektów pozwalające na ustalenie ich pierwotnej kolorystyki.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Poprawa estetyki i uporządkowanie przestrzeni publicznych na obszarze rewitalizacji</w:t>
            </w:r>
          </w:p>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Poprawa stanu zasobu mieszkaniowego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Liczba zmodernizowanych obiektów na obszarze rewitalizacji</w:t>
            </w:r>
          </w:p>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Liczba zmodernizowanych obiektów zabytkowych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Inwestycje w poprawę bezpieczeństwa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Nadanie Rynkowi charakteru kulturalnego, społecznego i gospodarczego centrum Nowego Miasteczka</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Poprawa estetyki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Obszar rewitalizacji w Nowym Miasteczku</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Gmina Nowe Miasteczko, właściciele nieruchomości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4 000 000 zł</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2026-2035</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Przedsięwzięcie jest ukierunkowane na modernizację budynków mieszkalnych, w których zamieszkują również osoby ze specjalnymi potrzebami.</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10</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 xml:space="preserve">Zielono, bezpiecznie, przyjaźnie </w:t>
            </w:r>
            <w:r>
              <w:rPr>
                <w:rFonts w:eastAsia="Aptos" w:cs="" w:ascii="Aptos" w:hAnsi="Aptos"/>
                <w:kern w:val="2"/>
                <w:sz w:val="22"/>
                <w:szCs w:val="22"/>
                <w:lang w:val="pl-PL" w:eastAsia="en-US" w:bidi="ar-SA"/>
              </w:rPr>
              <w:t>–</w:t>
            </w:r>
            <w:r>
              <w:rPr>
                <w:rFonts w:eastAsia="Aptos" w:cs="Arial" w:ascii="Aptos" w:hAnsi="Aptos"/>
                <w:b/>
                <w:bCs/>
                <w:kern w:val="2"/>
                <w:sz w:val="22"/>
                <w:szCs w:val="22"/>
                <w:lang w:val="pl-PL" w:eastAsia="en-US" w:bidi="ar-SA"/>
              </w:rPr>
              <w:t xml:space="preserve"> zagospodarowanie skweru przy ul. Gołaszyn 12b, 12c i 12d</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eastAsia="Aptos" w:cs="Arial"/>
              </w:rPr>
            </w:pPr>
            <w:r>
              <w:rPr>
                <w:rFonts w:eastAsia="Aptos" w:cs="Arial"/>
                <w:kern w:val="2"/>
                <w:sz w:val="22"/>
                <w:szCs w:val="22"/>
                <w:lang w:val="pl-PL" w:eastAsia="en-US" w:bidi="ar-SA"/>
              </w:rPr>
              <w:t>Projekt polegać będzie na zagospodarowaniu skweru w taki sposób, by stał się on miejscem bezpiecznym oraz zachęcającym do wspólnych aktywności i spędzania wolnego czasu przez mieszkańców. Planowane są wyspy zieleni, klomby (do dbałości o te wspólne przestrzenie mogą być zaproszeni mieszkańcy), elementy małej architektury, przestrzenie zabawy dla dzieci, a także dodatkowe oświetlenie. Ze względu na przebiegającą tędy drogę, która często pokonywana jest przez kierowców z naruszeniem przepisów, planuje się zainstalowanie dodatkowego oznakowania i progu zwalniającego.</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Poprawa estetyki i uporządkowanie przestrzeni publicznych na obszarze rewitalizacji</w:t>
            </w:r>
          </w:p>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Poprawa stanu bezpieczeństwa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Liczba zainstalowanych elementów zapewniających poprawę bezpieczeństwa</w:t>
            </w:r>
          </w:p>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Powierzchnia nowo utworzonych terenów zielonych</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Inwestycje w poprawę bezpieczeństwa na obszarze rewitalizacji</w:t>
            </w:r>
          </w:p>
          <w:p>
            <w:pPr>
              <w:pStyle w:val="Normal"/>
              <w:widowControl w:val="false"/>
              <w:suppressAutoHyphens w:val="true"/>
              <w:spacing w:lineRule="auto" w:line="276" w:before="120" w:after="120"/>
              <w:jc w:val="center"/>
              <w:rPr>
                <w:rFonts w:ascii="Aptos" w:hAnsi="Aptos" w:cs="Arial"/>
              </w:rPr>
            </w:pPr>
            <w:r>
              <w:rPr>
                <w:rFonts w:eastAsia="Aptos" w:cs="Arial" w:ascii="Aptos" w:hAnsi="Aptos"/>
                <w:kern w:val="2"/>
                <w:sz w:val="22"/>
                <w:szCs w:val="22"/>
                <w:lang w:val="pl-PL" w:eastAsia="en-US" w:bidi="ar-SA"/>
              </w:rPr>
              <w:t>Kompleksowe wsparcie rodzin, dzieci i młodzieży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Obręb 1 (0001); Działki 389/1, 389/2, 389/3, 389/4, 389/5, 389/6,  389/7, 389/8, 389/9, 389/10, 389/11, 389/12, 389/13, 389/15, 389/17, 389/21, 389/22, 389/23, 389/24, 389/25.</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Gmina Nowe Miasteczko</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500 000 zł</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2029-2030</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Na etapie projektowania zostaną uwzględnione zasady projektowania uniwersalnego. Na etapie użytkowania – zapewnienie dostępności skweru poprzez wdrażanie idei zrównoważonej mobilności i miasta zwartego, a także wsparcie w zakresie korzystania ze skweru dla osób ze szczególnymi potrzebami.</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74"/>
        <w:gridCol w:w="718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11</w:t>
            </w:r>
          </w:p>
        </w:tc>
      </w:tr>
      <w:tr>
        <w:trPr/>
        <w:tc>
          <w:tcPr>
            <w:tcW w:w="187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8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 xml:space="preserve">Bezpiecznie, z uśmiechem </w:t>
            </w:r>
            <w:r>
              <w:rPr>
                <w:rFonts w:eastAsia="Aptos" w:cs="" w:ascii="Aptos" w:hAnsi="Aptos"/>
                <w:kern w:val="2"/>
                <w:sz w:val="22"/>
                <w:szCs w:val="22"/>
                <w:lang w:val="pl-PL" w:eastAsia="en-US" w:bidi="ar-SA"/>
              </w:rPr>
              <w:t>–</w:t>
            </w:r>
            <w:r>
              <w:rPr>
                <w:rFonts w:eastAsia="Aptos" w:cs="Arial" w:ascii="Aptos" w:hAnsi="Aptos"/>
                <w:b/>
                <w:bCs/>
                <w:kern w:val="2"/>
                <w:sz w:val="22"/>
                <w:szCs w:val="22"/>
                <w:lang w:val="pl-PL" w:eastAsia="en-US" w:bidi="ar-SA"/>
              </w:rPr>
              <w:t xml:space="preserve"> renowacja i zabezpieczenie placu zabaw przy Kościele Opatrzności Bożej w Nowym Miasteczku</w:t>
            </w:r>
          </w:p>
        </w:tc>
      </w:tr>
      <w:tr>
        <w:trPr/>
        <w:tc>
          <w:tcPr>
            <w:tcW w:w="187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8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Projekt będzie polegał na renowacji placu zabaw, który z uwagi na wysoki stopień degradacji jest coraz rzadziej odwiedzany przez rodziców z dziećmi. Planuje się uporządkowanie zieleni, wymianę najbardziej przestarzałych i zniszczonych elementów na nowe i bezpieczne. Dodatkowym aspektem projektu powinno być zadbanie o bezpieczeństwo, tj. zapewnienie dodatkowego oświetlenia oraz kamery monitoringu, ze względu na to, iż plac bywa miejscem wandalizmu lub picia alkoholu.</w:t>
            </w:r>
          </w:p>
        </w:tc>
      </w:tr>
      <w:tr>
        <w:trPr/>
        <w:tc>
          <w:tcPr>
            <w:tcW w:w="187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87"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Poprawa estetyki i uporządkowanie przestrzeni publicznych na obszarze rewitalizacji</w:t>
            </w:r>
          </w:p>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Poprawa stanu bezpieczeństwa na obszarze rewitalizacji</w:t>
            </w:r>
          </w:p>
        </w:tc>
      </w:tr>
      <w:tr>
        <w:trPr/>
        <w:tc>
          <w:tcPr>
            <w:tcW w:w="187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87"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Liczba zmodernizowanych przestrzeni wspólnych</w:t>
            </w:r>
          </w:p>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Liczba zainstalowanych elementów zapewniających poprawę bezpieczeństwa</w:t>
            </w:r>
          </w:p>
        </w:tc>
      </w:tr>
      <w:tr>
        <w:trPr/>
        <w:tc>
          <w:tcPr>
            <w:tcW w:w="187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8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Kompleksowe wsparcie rodzin, dzieci i młodzieży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Inwestycje w poprawę bezpieczeństwa na obszarze rewitalizacji</w:t>
            </w:r>
          </w:p>
        </w:tc>
      </w:tr>
      <w:tr>
        <w:trPr/>
        <w:tc>
          <w:tcPr>
            <w:tcW w:w="187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8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Obręb 1 (0001); Działka nr 462/3</w:t>
            </w:r>
          </w:p>
        </w:tc>
      </w:tr>
      <w:tr>
        <w:trPr/>
        <w:tc>
          <w:tcPr>
            <w:tcW w:w="187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8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Gmina Nowe Miasteczko</w:t>
            </w:r>
          </w:p>
        </w:tc>
      </w:tr>
      <w:tr>
        <w:trPr/>
        <w:tc>
          <w:tcPr>
            <w:tcW w:w="187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8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300 000 zł</w:t>
            </w:r>
          </w:p>
        </w:tc>
      </w:tr>
      <w:tr>
        <w:trPr/>
        <w:tc>
          <w:tcPr>
            <w:tcW w:w="187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8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2027</w:t>
            </w:r>
          </w:p>
        </w:tc>
      </w:tr>
      <w:tr>
        <w:trPr/>
        <w:tc>
          <w:tcPr>
            <w:tcW w:w="187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8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Rozbudowanie placu o elementy integracyjne, które pozwolą na wspólną zabawę dzieci z niepełnosprawnościami i pozostałych dzieci.</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12</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Szczęśliwa rodzina</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Projekt ma na celu wybudowanie placu zabaw dla dzieci w różnym wieku. Plac powinien być stworzony z materiałów bezpiecznych dla dzieci i środowiska oraz posiadające wszystkie atesty. Można wybudować trampoliny w ziemi, tyrolki, huśtawki jednostanowiskowe oraz dwu, małpi gaj, zjeżdżalnie, drewniane domki, piaskownice i wiele innych form spędzania czasu na zabawie. Teren powinien być ogrodzony. Ławki oraz leżaki, parasole chroniące przed słońcem. Na terenie placu zabaw powinien znajdować się food truck lub budynek, w którym będą znajdować się toalety oraz miejsce do wypicia kawy, zjedzenia lodów czy ciasta. W taki sposób dużo rodzin z terenu Nowego Miasteczka może spędzić wspólnie wolny czas.</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Poprawa estetyki i uporządkowanie przestrzeni publicznych na obszarze rewitalizacji</w:t>
            </w:r>
          </w:p>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Poprawa stanu bezpieczeństwa na obszarze rewitalizacji</w:t>
            </w:r>
          </w:p>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Poszerzenie form spędzania wolnego czasu przez mieszkańców</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Liczba nowo utworzonych przestrzeni wspólnych</w:t>
            </w:r>
          </w:p>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Liczba zainstalowanych elementów zapewniających poprawę bezpieczeństwa</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Kompleksowe wsparcie rodzin, dzieci i młodzieży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Inwestycje w poprawę bezpieczeństwa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Obręb 1 (0001); Działka 100/26, 100/4</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Gmina Nowe Miasteczko</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700 000 zł</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2027-2028</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rPr>
                <w:rFonts w:eastAsia="Aptos" w:cs="Arial"/>
              </w:rPr>
            </w:pPr>
            <w:r>
              <w:rPr>
                <w:rFonts w:eastAsia="Aptos" w:cs="Arial"/>
                <w:kern w:val="2"/>
                <w:sz w:val="22"/>
                <w:szCs w:val="22"/>
                <w:lang w:val="pl-PL" w:eastAsia="en-US" w:bidi="ar-SA"/>
              </w:rPr>
              <w:t>Zapewnienie w projekcie elementów integracyjnych, które pozwolą na wspólną zabawę dzieci z niepełnosprawnościami i pozostałych dzieci.</w:t>
            </w:r>
          </w:p>
        </w:tc>
      </w:tr>
    </w:tbl>
    <w:p>
      <w:pPr>
        <w:pStyle w:val="Normal"/>
        <w:spacing w:lineRule="auto" w:line="276" w:before="120" w:after="120"/>
        <w:rPr/>
      </w:pPr>
      <w:r>
        <w:rPr/>
      </w:r>
    </w:p>
    <w:tbl>
      <w:tblPr>
        <w:tblStyle w:val="Tabela-Siatka"/>
        <w:tblW w:w="9060"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3"/>
        <w:gridCol w:w="7196"/>
      </w:tblGrid>
      <w:tr>
        <w:trPr/>
        <w:tc>
          <w:tcPr>
            <w:tcW w:w="9059"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13</w:t>
            </w:r>
          </w:p>
        </w:tc>
      </w:tr>
      <w:tr>
        <w:trPr/>
        <w:tc>
          <w:tcPr>
            <w:tcW w:w="1863"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6"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Zagospodarowanie Parku XXX-lecia w Nowym Miasteczku</w:t>
            </w:r>
          </w:p>
        </w:tc>
      </w:tr>
      <w:tr>
        <w:trPr/>
        <w:tc>
          <w:tcPr>
            <w:tcW w:w="1863" w:type="dxa"/>
            <w:tcBorders/>
            <w:vAlign w:val="center"/>
          </w:tcPr>
          <w:p>
            <w:pPr>
              <w:pStyle w:val="Normal"/>
              <w:widowControl w:val="false"/>
              <w:suppressAutoHyphens w:val="true"/>
              <w:spacing w:lineRule="auto" w:line="276" w:before="120" w:after="120"/>
              <w:jc w:val="center"/>
              <w:rPr>
                <w:rFonts w:ascii="Aptos" w:hAnsi="Aptos" w:eastAsia="Aptos" w:cs="Arial"/>
                <w:b/>
                <w:bCs/>
              </w:rPr>
            </w:pPr>
            <w:r>
              <w:rPr>
                <w:rFonts w:eastAsia="Aptos" w:cs="Arial" w:ascii="Aptos" w:hAnsi="Aptos"/>
                <w:b/>
                <w:bCs/>
                <w:kern w:val="2"/>
                <w:sz w:val="22"/>
                <w:szCs w:val="22"/>
                <w:lang w:val="pl-PL" w:eastAsia="en-US" w:bidi="ar-SA"/>
              </w:rPr>
              <w:t>Zakres</w:t>
            </w:r>
          </w:p>
        </w:tc>
        <w:tc>
          <w:tcPr>
            <w:tcW w:w="7196" w:type="dxa"/>
            <w:tcBorders/>
          </w:tcPr>
          <w:p>
            <w:pPr>
              <w:pStyle w:val="Normal"/>
              <w:widowControl w:val="false"/>
              <w:suppressAutoHyphens w:val="true"/>
              <w:spacing w:lineRule="auto" w:line="276" w:before="120" w:after="120"/>
              <w:jc w:val="start"/>
              <w:rPr>
                <w:rFonts w:ascii="Aptos" w:hAnsi="Aptos" w:eastAsia="Aptos" w:cs="Arial"/>
              </w:rPr>
            </w:pPr>
            <w:r>
              <w:rPr>
                <w:rFonts w:eastAsia="Aptos" w:cs="Arial" w:ascii="Aptos" w:hAnsi="Aptos"/>
                <w:kern w:val="2"/>
                <w:sz w:val="22"/>
                <w:szCs w:val="22"/>
                <w:lang w:val="pl-PL" w:eastAsia="en-US" w:bidi="ar-SA"/>
              </w:rPr>
              <w:t>Projekt dotyczy utworzenia Parku (na bazie dawnego Parku XXX-lecia) – w oparciu o przystosowanie się do zmian klimatu. Działania będą realizowane w skali mikro i będą oparte na przyrodzie. Park ma stanowić kolejne centrum ochrony różnorodności biologicznej, ale też nawiązywać do historii tego miejsca. Projekt obejmuje następujące prace: pielęgnacyjne, chroniące bioróżnorodność, uporządkowanie terenu, wykonanie stref bioróżnorodności z gatunkami rodzimymi, stworzenie infrastruktury przyrodniczej, kanalizującej ruch mieszkańców, wykonanie ścieżki edukacyjnej, kampanię edukacyjno-informacyjną.</w:t>
            </w:r>
          </w:p>
        </w:tc>
      </w:tr>
      <w:tr>
        <w:trPr/>
        <w:tc>
          <w:tcPr>
            <w:tcW w:w="1863"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6"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Poprawa estetyki i uporządkowanie przestrzeni publicznych na obszarze rewitalizacji</w:t>
            </w:r>
          </w:p>
        </w:tc>
      </w:tr>
      <w:tr>
        <w:trPr/>
        <w:tc>
          <w:tcPr>
            <w:tcW w:w="1863"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6"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Powierzchnia zrewaloryzowanych terenów zielonych</w:t>
            </w:r>
          </w:p>
        </w:tc>
      </w:tr>
      <w:tr>
        <w:trPr/>
        <w:tc>
          <w:tcPr>
            <w:tcW w:w="1863"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6"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Rewaloryzacja terenów zielonych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Inwestycje w poprawę bezpieczeństwa na obszarze rewitalizacji</w:t>
            </w:r>
          </w:p>
        </w:tc>
      </w:tr>
      <w:tr>
        <w:trPr/>
        <w:tc>
          <w:tcPr>
            <w:tcW w:w="1863"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6" w:type="dxa"/>
            <w:tcBorders/>
          </w:tcPr>
          <w:p>
            <w:pPr>
              <w:pStyle w:val="Normal"/>
              <w:widowControl w:val="false"/>
              <w:suppressAutoHyphens w:val="true"/>
              <w:spacing w:lineRule="auto" w:line="276" w:before="120" w:after="120"/>
              <w:rPr>
                <w:rFonts w:ascii="Aptos" w:hAnsi="Aptos" w:eastAsia="Aptos" w:cs="Arial"/>
              </w:rPr>
            </w:pPr>
            <w:r>
              <w:rPr>
                <w:rFonts w:eastAsia="Aptos" w:cs="Arial" w:ascii="Aptos" w:hAnsi="Aptos"/>
                <w:kern w:val="2"/>
                <w:sz w:val="22"/>
                <w:szCs w:val="22"/>
                <w:lang w:val="pl-PL" w:eastAsia="en-US" w:bidi="ar-SA"/>
              </w:rPr>
              <w:t>Obręb 1 (0001); Działka 119/2</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Miejsce realizacji projektu znajduje się poza wyznaczonym obszarem rewitalizacji. Należy jednak zwrócić uwagę na bezpośrednią bliskość dawnego Parku XXX-lecia do zabudowań znajdujących się na obszarze rewitalizacji (ok. 200 metrów). Dzięki temu z uporządkowanego parku będą w naturalny sposób korzystali mieszkańcy obszaru rewitalizacji. Teren ten był wielokrotnie wskazywany przez mieszkańców jako miejsce, które należy zrewaloryzować. Opinie te powtarzały się zarówno w prowadzonych warsztatach w trakcie prac nad GPR, jak również w ankietach przeprowadzonych wśród mieszkańców. Dawny Park XXX-lecia stanowi cenny zasób i potencjał Gminy Nowe Miasteczko, nie tylko w sferze środowiskowej (jako teren zieleni), ale również społecznej (jako miejsce realizacji potencjalnych wydarzeń o charakterze społecznym i kulturalnym, w których będą mogli brać udział mieszkańcy obszaru rewitalizacji).</w:t>
            </w:r>
          </w:p>
        </w:tc>
      </w:tr>
      <w:tr>
        <w:trPr/>
        <w:tc>
          <w:tcPr>
            <w:tcW w:w="1863"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6"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Gmina Nowe Miasteczko</w:t>
            </w:r>
          </w:p>
        </w:tc>
      </w:tr>
      <w:tr>
        <w:trPr/>
        <w:tc>
          <w:tcPr>
            <w:tcW w:w="1863"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6" w:type="dxa"/>
            <w:tcBorders/>
          </w:tcPr>
          <w:p>
            <w:pPr>
              <w:pStyle w:val="Zawartotabeli"/>
              <w:widowControl/>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833 562,10 zł</w:t>
            </w:r>
          </w:p>
        </w:tc>
      </w:tr>
      <w:tr>
        <w:trPr/>
        <w:tc>
          <w:tcPr>
            <w:tcW w:w="1863"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6"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2026-2027</w:t>
            </w:r>
          </w:p>
        </w:tc>
      </w:tr>
      <w:tr>
        <w:trPr/>
        <w:tc>
          <w:tcPr>
            <w:tcW w:w="1863"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6"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Na etapie projektowania zostaną uwzględnione zasady projektowania uniwersalnego. Na etapie użytkowania – zapewnienie dostępności terenów zielonych poprzez wdrażanie idei zrównoważonej mobilności i miasta zwartego, a także wsparcie w zakresie korzystania z terenów zielonych dla osób ze szczególnymi potrzebami.</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14</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before="0" w:after="0"/>
              <w:rPr>
                <w:rFonts w:ascii="Aptos" w:hAnsi="Aptos" w:cs="Arial"/>
                <w:b/>
                <w:bCs/>
              </w:rPr>
            </w:pPr>
            <w:r>
              <w:rPr>
                <w:rFonts w:eastAsia="Aptos" w:cs="Arial" w:ascii="Aptos" w:hAnsi="Aptos"/>
                <w:b/>
                <w:bCs/>
                <w:kern w:val="2"/>
                <w:sz w:val="22"/>
                <w:szCs w:val="22"/>
                <w:lang w:val="pl-PL" w:eastAsia="en-US" w:bidi="ar-SA"/>
              </w:rPr>
              <w:t>Siądź pod mym liściem, a odpocznij sobie</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Utworzenie miejsc do siedzenia/odpoczynku/spotkania, zagospodarowanych w sposób pobudzający integrację społeczną (np. ławki dospołeczne), połączonych z ogródkami społecznymi (z zaangażowaniem mieszkańców), szachownice, ładowarki do telefonów (np. miejsce za przystankiem PKS).</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Poprawa estetyki i uporządkowanie przestrzeni publicznych na obszarze rewitalizacji</w:t>
            </w:r>
          </w:p>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Poprawa stanu bezpieczeństwa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nowo utworzonych lub zmodernizowanych przestrzeni wspólnych</w:t>
            </w:r>
          </w:p>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Liczba zainstalowanych elementów zapewniających poprawę bezpieczeństwa</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zainstalowanych elementów małej architektury</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Inwestycje w poprawę bezpieczeństwa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Poprawa dostępności najważniejszych miejsc na obszarze rewitalizacji dla osób ze szczególnymi potrzebami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Poprawa estetyki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Obręb 1 (0001); Działka 184/9, 185</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before="0" w:after="0"/>
              <w:rPr>
                <w:rFonts w:ascii="Aptos" w:hAnsi="Aptos" w:cs="Arial"/>
              </w:rPr>
            </w:pPr>
            <w:r>
              <w:rPr>
                <w:rFonts w:eastAsia="Aptos" w:cs="Arial" w:ascii="Aptos" w:hAnsi="Aptos"/>
                <w:kern w:val="2"/>
                <w:sz w:val="22"/>
                <w:szCs w:val="22"/>
                <w:lang w:val="pl-PL" w:eastAsia="en-US" w:bidi="ar-SA"/>
              </w:rPr>
              <w:t>Gmina Nowe Miasteczko</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150 000 zł</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2027-2029</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Na etapie projektowania zostaną uwzględnione zasady projektowania uniwersalnego. Na etapie użytkowania – zapewnienie dostępności terenów wspólnych poprzez wdrażanie idei zrównoważonej mobilności i miasta zwartego, a także wsparcie w zakresie korzystania z terenów wspólnych dla osób ze szczególnymi potrzebami.</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15</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Zakątek nad Białą Wodą</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Utworzenie atrakcyjnego miejsca spacerowego w okolicach mostku pomiędzy ul. Gołaszyn i ulicą Kolejową wykorzystującego istniejące walory przyrodnicze i krajobrazowe (w tym panoramę miasta) poprzez przywrócenie/nawiązanie do historycznej formy mostka, uporządkowanie zieleni, dodanie elementów małej architektury w miejscach zacienionych i nasłonecznionych, zainstalowanie ozdobnego oświetlenia, stworzenie bezpiecznej przestrzeni rekreacyjnej dla dzieci zarówno tych najmłodszych jak i w wieku przedszkolnym, nie zaburzających historycznej panoramy oraz z uwzględnieniem wykorzystania naturalnych materiałów, elementów zieleni (np. kopuła/tunel wierzbowy, labirynt z krzewów) oraz ewentualnych elementów wodnych (w tym istniejących), w celu harmonijnego wkomponowania elementów zagospodarowania w walory krajobrazowe miejsca. Miejsce powinno umożliwiać swobodną komunikację/dowiązanie do istniejącego zagospodarowania na skrzyżowaniu ulic.</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Poprawa estetyki i uporządkowanie przestrzeni publicznych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Powierzchnia zrewaloryzowanych terenów zielonych</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zainstalowanych elementów małej architektury</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Rewaloryzacja terenów zielonych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Wzmacnianie poczucia tożsamości lokalnej wśród mieszkańców obszaru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Obręb 1 (0001), Działka nr 285/2, 284, 285/1</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Gmina Nowe Miasteczko</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500 000 zł</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2030-2031</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Na etapie projektowania zostaną uwzględnione zasady projektowania uniwersalnego. Na etapie użytkowania – zapewnienie dostępności terenów zielonych poprzez wdrażanie idei zrównoważonej mobilności i miasta zwartego, a także wsparcie w zakresie korzystania z terenów zielonych dla osób ze szczególnymi potrzebami.</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74"/>
        <w:gridCol w:w="7187"/>
      </w:tblGrid>
      <w:tr>
        <w:trPr>
          <w:trHeight w:val="394" w:hRule="atLeast"/>
        </w:trPr>
        <w:tc>
          <w:tcPr>
            <w:tcW w:w="9061" w:type="dxa"/>
            <w:gridSpan w:val="2"/>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16</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87" w:type="dxa"/>
            <w:tcBorders/>
            <w:vAlign w:val="center"/>
          </w:tcPr>
          <w:p>
            <w:pPr>
              <w:pStyle w:val="Normal"/>
              <w:widowControl w:val="false"/>
              <w:suppressAutoHyphens w:val="true"/>
              <w:spacing w:lineRule="auto" w:line="240" w:before="120" w:after="120"/>
              <w:rPr>
                <w:rFonts w:ascii="Aptos" w:hAnsi="Aptos" w:cs="Arial"/>
                <w:b/>
                <w:bCs/>
              </w:rPr>
            </w:pPr>
            <w:r>
              <w:rPr>
                <w:rFonts w:eastAsia="Aptos" w:cs="Arial" w:ascii="Aptos" w:hAnsi="Aptos"/>
                <w:b/>
                <w:bCs/>
                <w:kern w:val="2"/>
                <w:sz w:val="22"/>
                <w:szCs w:val="22"/>
                <w:lang w:val="pl-PL" w:eastAsia="en-US" w:bidi="ar-SA"/>
              </w:rPr>
              <w:t>Zagospodarowanie dawnych zakładów meblowych ZEFAM</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87" w:type="dxa"/>
            <w:tcBorders/>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W pierwszym etapie projekt będzie polegał na wyłonieniu najbardziej pożądanej koncepcji na zagospodarowanie terenu ZEFAM spośród następujących:</w:t>
            </w:r>
          </w:p>
          <w:p>
            <w:pPr>
              <w:pStyle w:val="NoSpacing"/>
              <w:widowControl w:val="false"/>
              <w:suppressAutoHyphens w:val="true"/>
              <w:rPr>
                <w:rFonts w:ascii="Aptos" w:hAnsi="Aptos"/>
              </w:rPr>
            </w:pPr>
            <w:r>
              <w:rPr>
                <w:rFonts w:eastAsia="Aptos" w:cs="" w:ascii="Aptos" w:hAnsi="Aptos"/>
                <w:kern w:val="2"/>
                <w:sz w:val="22"/>
                <w:szCs w:val="22"/>
                <w:lang w:val="pl-PL" w:eastAsia="en-US" w:bidi="ar-SA"/>
              </w:rPr>
              <w:t>- przestrzeń mieszkaniowo-usługowa w stylu industrialnym</w:t>
            </w:r>
          </w:p>
          <w:p>
            <w:pPr>
              <w:pStyle w:val="NoSpacing"/>
              <w:widowControl w:val="false"/>
              <w:suppressAutoHyphens w:val="true"/>
              <w:rPr>
                <w:rFonts w:ascii="Aptos" w:hAnsi="Aptos"/>
              </w:rPr>
            </w:pPr>
            <w:r>
              <w:rPr>
                <w:rFonts w:eastAsia="Aptos" w:cs="" w:ascii="Aptos" w:hAnsi="Aptos"/>
                <w:kern w:val="2"/>
                <w:sz w:val="22"/>
                <w:szCs w:val="22"/>
                <w:lang w:val="pl-PL" w:eastAsia="en-US" w:bidi="ar-SA"/>
              </w:rPr>
              <w:t>- tereny inwestycyjne pod działalność, która nie będzie uciążliwa dla okolicznych mieszkańców</w:t>
            </w:r>
          </w:p>
          <w:p>
            <w:pPr>
              <w:pStyle w:val="NoSpacing"/>
              <w:widowControl w:val="false"/>
              <w:suppressAutoHyphens w:val="true"/>
              <w:rPr>
                <w:rFonts w:ascii="Aptos" w:hAnsi="Aptos"/>
              </w:rPr>
            </w:pPr>
            <w:r>
              <w:rPr>
                <w:rFonts w:eastAsia="Aptos" w:cs="" w:ascii="Aptos" w:hAnsi="Aptos"/>
                <w:kern w:val="2"/>
                <w:sz w:val="22"/>
                <w:szCs w:val="22"/>
                <w:lang w:val="pl-PL" w:eastAsia="en-US" w:bidi="ar-SA"/>
              </w:rPr>
              <w:t>- realizacja przedsięwzięcia partnerstwa publiczno-prywatnego z przestrzeniami angażującymi lokalną młodzież oraz dzieci wykorzystującego edukację poprzez sztukę</w:t>
            </w:r>
          </w:p>
          <w:p>
            <w:pPr>
              <w:pStyle w:val="NoSpacing"/>
              <w:widowControl w:val="false"/>
              <w:suppressAutoHyphens w:val="true"/>
              <w:rPr>
                <w:rFonts w:ascii="Aptos" w:hAnsi="Aptos"/>
              </w:rPr>
            </w:pPr>
            <w:r>
              <w:rPr>
                <w:rFonts w:eastAsia="Aptos" w:cs="" w:ascii="Aptos" w:hAnsi="Aptos"/>
                <w:kern w:val="2"/>
                <w:sz w:val="22"/>
                <w:szCs w:val="22"/>
                <w:lang w:val="pl-PL" w:eastAsia="en-US" w:bidi="ar-SA"/>
              </w:rPr>
              <w:t>- realizacja przestrzeni aktywności i innowacji społecznych mającej na celu animację środowiska lokalnego/dom sąsiedzki. Obiekt powinien zawierać przestrzeń gastronomiczną oraz przestrzeń do wydarzeń kulturalnych wykorzystującą industrialny charakter miejsca i podkreślających jego charakter.</w:t>
            </w:r>
          </w:p>
          <w:p>
            <w:pPr>
              <w:pStyle w:val="NoSpacing"/>
              <w:widowControl w:val="false"/>
              <w:suppressAutoHyphens w:val="true"/>
              <w:spacing w:before="120" w:after="120"/>
              <w:rPr>
                <w:rFonts w:ascii="Aptos" w:hAnsi="Aptos"/>
                <w:highlight w:val="red"/>
              </w:rPr>
            </w:pPr>
            <w:r>
              <w:rPr>
                <w:rFonts w:eastAsia="Aptos" w:cs="" w:ascii="Aptos" w:hAnsi="Aptos"/>
                <w:kern w:val="2"/>
                <w:sz w:val="22"/>
                <w:szCs w:val="22"/>
                <w:lang w:val="pl-PL" w:eastAsia="en-US" w:bidi="ar-SA"/>
              </w:rPr>
              <w:t>Etap drugi będzie polegał na wdrożeniu wybranej koncepcji.</w:t>
            </w:r>
          </w:p>
        </w:tc>
      </w:tr>
      <w:tr>
        <w:trPr/>
        <w:tc>
          <w:tcPr>
            <w:tcW w:w="1874" w:type="dxa"/>
            <w:tcBorders/>
            <w:vAlign w:val="center"/>
          </w:tcPr>
          <w:p>
            <w:pPr>
              <w:pStyle w:val="NoSpacing"/>
              <w:widowControl w:val="false"/>
              <w:suppressAutoHyphens w:val="true"/>
              <w:spacing w:before="120" w:after="120"/>
              <w:jc w:val="center"/>
              <w:rPr>
                <w:rFonts w:eastAsia="Aptos" w:cs="Arial"/>
                <w:b/>
                <w:bCs/>
              </w:rPr>
            </w:pPr>
            <w:r>
              <w:rPr>
                <w:rFonts w:eastAsia="Aptos" w:cs="Arial"/>
                <w:b/>
                <w:bCs/>
                <w:kern w:val="2"/>
                <w:sz w:val="22"/>
                <w:szCs w:val="22"/>
                <w:lang w:val="pl-PL" w:eastAsia="en-US" w:bidi="ar-SA"/>
              </w:rPr>
              <w:t>Prognozowane rezultaty</w:t>
            </w:r>
          </w:p>
        </w:tc>
        <w:tc>
          <w:tcPr>
            <w:tcW w:w="7187" w:type="dxa"/>
            <w:tcBorders/>
          </w:tcPr>
          <w:p>
            <w:pPr>
              <w:pStyle w:val="NoSpacing"/>
              <w:widowControl w:val="false"/>
              <w:suppressAutoHyphens w:val="true"/>
              <w:spacing w:before="120" w:after="120"/>
              <w:jc w:val="start"/>
              <w:rPr>
                <w:rFonts w:eastAsia="Aptos"/>
              </w:rPr>
            </w:pPr>
            <w:r>
              <w:rPr>
                <w:rFonts w:eastAsia="Aptos" w:cs=""/>
                <w:kern w:val="2"/>
                <w:sz w:val="22"/>
                <w:szCs w:val="22"/>
                <w:lang w:val="pl-PL" w:eastAsia="en-US" w:bidi="ar-SA"/>
              </w:rPr>
              <w:t>Poszerzenie form spędzania wolnego czasu przez mieszkańców</w:t>
            </w:r>
          </w:p>
          <w:p>
            <w:pPr>
              <w:pStyle w:val="NoSpacing"/>
              <w:widowControl w:val="false"/>
              <w:suppressAutoHyphens w:val="true"/>
              <w:jc w:val="start"/>
              <w:rPr>
                <w:rFonts w:eastAsia="Aptos"/>
              </w:rPr>
            </w:pPr>
            <w:r>
              <w:rPr>
                <w:rFonts w:eastAsia="Aptos" w:cs=""/>
                <w:kern w:val="2"/>
                <w:sz w:val="22"/>
                <w:szCs w:val="22"/>
                <w:lang w:val="pl-PL" w:eastAsia="en-US" w:bidi="ar-SA"/>
              </w:rPr>
              <w:t>Budowanie poczucia tożsamości i zwiększanie więzi lokalnych wśród mieszkańców</w:t>
            </w:r>
          </w:p>
          <w:p>
            <w:pPr>
              <w:pStyle w:val="NoSpacing"/>
              <w:widowControl w:val="false"/>
              <w:suppressAutoHyphens w:val="true"/>
              <w:spacing w:before="120" w:after="120"/>
              <w:jc w:val="start"/>
              <w:rPr>
                <w:rFonts w:eastAsia="Aptos"/>
              </w:rPr>
            </w:pPr>
            <w:r>
              <w:rPr>
                <w:rFonts w:eastAsia="Aptos" w:cs=""/>
                <w:kern w:val="2"/>
                <w:sz w:val="22"/>
                <w:szCs w:val="22"/>
                <w:lang w:val="pl-PL" w:eastAsia="en-US" w:bidi="ar-SA"/>
              </w:rPr>
              <w:t>Poprawa estetyki i uporządkowanie przestrzeni publicznych na obszarze rewitalizacji</w:t>
            </w:r>
          </w:p>
        </w:tc>
      </w:tr>
      <w:tr>
        <w:trPr/>
        <w:tc>
          <w:tcPr>
            <w:tcW w:w="1874" w:type="dxa"/>
            <w:tcBorders/>
            <w:vAlign w:val="center"/>
          </w:tcPr>
          <w:p>
            <w:pPr>
              <w:pStyle w:val="NoSpacing"/>
              <w:widowControl w:val="false"/>
              <w:suppressAutoHyphens w:val="true"/>
              <w:spacing w:before="120" w:after="120"/>
              <w:jc w:val="center"/>
              <w:rPr>
                <w:rFonts w:eastAsia="Aptos" w:cs="Arial"/>
                <w:b/>
                <w:bCs/>
              </w:rPr>
            </w:pPr>
            <w:r>
              <w:rPr>
                <w:rFonts w:eastAsia="Aptos" w:cs="Arial"/>
                <w:b/>
                <w:bCs/>
                <w:kern w:val="2"/>
                <w:sz w:val="22"/>
                <w:szCs w:val="22"/>
                <w:lang w:val="pl-PL" w:eastAsia="en-US" w:bidi="ar-SA"/>
              </w:rPr>
              <w:t>Sposób oceny rezultatów</w:t>
            </w:r>
          </w:p>
        </w:tc>
        <w:tc>
          <w:tcPr>
            <w:tcW w:w="7187" w:type="dxa"/>
            <w:tcBorders/>
          </w:tcPr>
          <w:p>
            <w:pPr>
              <w:pStyle w:val="NoSpacing"/>
              <w:widowControl w:val="false"/>
              <w:suppressAutoHyphens w:val="true"/>
              <w:spacing w:before="120" w:after="120"/>
              <w:rPr>
                <w:rFonts w:eastAsia="Aptos"/>
              </w:rPr>
            </w:pPr>
            <w:r>
              <w:rPr>
                <w:rFonts w:eastAsia="Aptos" w:cs=""/>
                <w:kern w:val="2"/>
                <w:sz w:val="22"/>
                <w:szCs w:val="22"/>
                <w:lang w:val="pl-PL" w:eastAsia="en-US" w:bidi="ar-SA"/>
              </w:rPr>
              <w:t>Powierzchnia zrewaloryzowanych obszarów poprzemysłowych</w:t>
            </w:r>
          </w:p>
          <w:p>
            <w:pPr>
              <w:pStyle w:val="NoSpacing"/>
              <w:widowControl w:val="false"/>
              <w:suppressAutoHyphens w:val="true"/>
              <w:spacing w:before="120" w:after="120"/>
              <w:rPr>
                <w:rFonts w:eastAsia="Aptos"/>
              </w:rPr>
            </w:pPr>
            <w:r>
              <w:rPr>
                <w:rFonts w:eastAsia="Aptos" w:cs=""/>
                <w:kern w:val="2"/>
                <w:sz w:val="22"/>
                <w:szCs w:val="22"/>
                <w:lang w:val="pl-PL" w:eastAsia="en-US" w:bidi="ar-SA"/>
              </w:rPr>
              <w:t>Liczba zmodernizowanych obiektów na obszarze rewitalizacji</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87" w:type="dxa"/>
            <w:tcBorders/>
            <w:vAlign w:val="center"/>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Rozwój systemu przestrzeni publicznych przyjaznego ludziom i środowisku na obszarze rewitalizacji</w:t>
            </w:r>
          </w:p>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Animowanie aktywności obywatelskiej poprzez włączanie mieszkańców we wdrażanie działań rewitalizacyjnych</w:t>
            </w:r>
          </w:p>
        </w:tc>
      </w:tr>
      <w:tr>
        <w:trPr/>
        <w:tc>
          <w:tcPr>
            <w:tcW w:w="1874" w:type="dxa"/>
            <w:tcBorders/>
            <w:vAlign w:val="center"/>
          </w:tcPr>
          <w:p>
            <w:pPr>
              <w:pStyle w:val="NoSpacing"/>
              <w:widowControl w:val="false"/>
              <w:suppressAutoHyphens w:val="true"/>
              <w:spacing w:before="120" w:after="120"/>
              <w:jc w:val="center"/>
              <w:rPr>
                <w:rFonts w:eastAsia="Aptos" w:cs="Arial"/>
                <w:b/>
                <w:bCs/>
              </w:rPr>
            </w:pPr>
            <w:r>
              <w:rPr>
                <w:rFonts w:eastAsia="Aptos" w:cs="Arial"/>
                <w:b/>
                <w:bCs/>
                <w:kern w:val="2"/>
                <w:sz w:val="22"/>
                <w:szCs w:val="22"/>
                <w:lang w:val="pl-PL" w:eastAsia="en-US" w:bidi="ar-SA"/>
              </w:rPr>
              <w:t>Lokalizacja</w:t>
            </w:r>
          </w:p>
        </w:tc>
        <w:tc>
          <w:tcPr>
            <w:tcW w:w="7187" w:type="dxa"/>
            <w:tcBorders/>
            <w:vAlign w:val="center"/>
          </w:tcPr>
          <w:p>
            <w:pPr>
              <w:pStyle w:val="NoSpacing"/>
              <w:widowControl w:val="false"/>
              <w:suppressAutoHyphens w:val="true"/>
              <w:spacing w:before="120" w:after="120"/>
              <w:rPr>
                <w:rFonts w:eastAsia="Aptos"/>
              </w:rPr>
            </w:pPr>
            <w:r>
              <w:rPr>
                <w:rFonts w:eastAsia="Aptos" w:cs=""/>
                <w:kern w:val="2"/>
                <w:sz w:val="22"/>
                <w:szCs w:val="22"/>
                <w:lang w:val="pl-PL" w:eastAsia="en-US" w:bidi="ar-SA"/>
              </w:rPr>
              <w:t>Obręb 1 (0001); Działka nr 474/3, 474/4</w:t>
            </w:r>
          </w:p>
        </w:tc>
      </w:tr>
      <w:tr>
        <w:trPr/>
        <w:tc>
          <w:tcPr>
            <w:tcW w:w="1874" w:type="dxa"/>
            <w:tcBorders/>
            <w:vAlign w:val="center"/>
          </w:tcPr>
          <w:p>
            <w:pPr>
              <w:pStyle w:val="NoSpacing"/>
              <w:widowControl w:val="false"/>
              <w:suppressAutoHyphens w:val="true"/>
              <w:spacing w:before="120" w:after="120"/>
              <w:jc w:val="center"/>
              <w:rPr>
                <w:rFonts w:eastAsia="Aptos" w:cs="Arial"/>
                <w:b/>
                <w:bCs/>
              </w:rPr>
            </w:pPr>
            <w:r>
              <w:rPr>
                <w:rFonts w:eastAsia="Aptos" w:cs="Arial"/>
                <w:b/>
                <w:bCs/>
                <w:kern w:val="2"/>
                <w:sz w:val="22"/>
                <w:szCs w:val="22"/>
                <w:lang w:val="pl-PL" w:eastAsia="en-US" w:bidi="ar-SA"/>
              </w:rPr>
              <w:t>Podmiot realizujący</w:t>
            </w:r>
          </w:p>
        </w:tc>
        <w:tc>
          <w:tcPr>
            <w:tcW w:w="7187" w:type="dxa"/>
            <w:tcBorders/>
            <w:vAlign w:val="center"/>
          </w:tcPr>
          <w:p>
            <w:pPr>
              <w:pStyle w:val="NoSpacing"/>
              <w:widowControl w:val="false"/>
              <w:suppressAutoHyphens w:val="true"/>
              <w:spacing w:before="120" w:after="120"/>
              <w:rPr>
                <w:rFonts w:eastAsia="Aptos"/>
              </w:rPr>
            </w:pPr>
            <w:r>
              <w:rPr>
                <w:rFonts w:eastAsia="Aptos" w:cs=""/>
                <w:kern w:val="2"/>
                <w:sz w:val="22"/>
                <w:szCs w:val="22"/>
                <w:lang w:val="pl-PL" w:eastAsia="en-US" w:bidi="ar-SA"/>
              </w:rPr>
              <w:t>Podmiot prywatny, właściciel nieruchomości</w:t>
            </w:r>
          </w:p>
        </w:tc>
      </w:tr>
      <w:tr>
        <w:trPr/>
        <w:tc>
          <w:tcPr>
            <w:tcW w:w="1874" w:type="dxa"/>
            <w:tcBorders/>
            <w:vAlign w:val="center"/>
          </w:tcPr>
          <w:p>
            <w:pPr>
              <w:pStyle w:val="NoSpacing"/>
              <w:widowControl w:val="false"/>
              <w:suppressAutoHyphens w:val="true"/>
              <w:spacing w:before="120" w:after="120"/>
              <w:jc w:val="center"/>
              <w:rPr>
                <w:rFonts w:eastAsia="Aptos" w:cs="Arial"/>
                <w:b/>
                <w:bCs/>
              </w:rPr>
            </w:pPr>
            <w:r>
              <w:rPr>
                <w:rFonts w:eastAsia="Aptos" w:cs="Arial"/>
                <w:b/>
                <w:bCs/>
                <w:kern w:val="2"/>
                <w:sz w:val="22"/>
                <w:szCs w:val="22"/>
                <w:lang w:val="pl-PL" w:eastAsia="en-US" w:bidi="ar-SA"/>
              </w:rPr>
              <w:t>Szacunkowa wartość</w:t>
            </w:r>
          </w:p>
        </w:tc>
        <w:tc>
          <w:tcPr>
            <w:tcW w:w="7187" w:type="dxa"/>
            <w:tcBorders/>
            <w:vAlign w:val="center"/>
          </w:tcPr>
          <w:p>
            <w:pPr>
              <w:pStyle w:val="NoSpacing"/>
              <w:widowControl w:val="false"/>
              <w:suppressAutoHyphens w:val="true"/>
              <w:spacing w:before="120" w:after="120"/>
              <w:rPr>
                <w:rFonts w:eastAsia="Aptos"/>
              </w:rPr>
            </w:pPr>
            <w:r>
              <w:rPr>
                <w:rFonts w:eastAsia="Aptos" w:cs=""/>
                <w:kern w:val="2"/>
                <w:sz w:val="22"/>
                <w:szCs w:val="22"/>
                <w:lang w:val="pl-PL" w:eastAsia="en-US" w:bidi="ar-SA"/>
              </w:rPr>
              <w:t>4 000 000 zł</w:t>
            </w:r>
          </w:p>
        </w:tc>
      </w:tr>
      <w:tr>
        <w:trPr/>
        <w:tc>
          <w:tcPr>
            <w:tcW w:w="1874" w:type="dxa"/>
            <w:tcBorders/>
            <w:vAlign w:val="center"/>
          </w:tcPr>
          <w:p>
            <w:pPr>
              <w:pStyle w:val="NoSpacing"/>
              <w:widowControl w:val="false"/>
              <w:suppressAutoHyphens w:val="true"/>
              <w:spacing w:before="120" w:after="120"/>
              <w:jc w:val="center"/>
              <w:rPr>
                <w:rFonts w:eastAsia="Aptos" w:cs="Arial"/>
                <w:b/>
                <w:bCs/>
              </w:rPr>
            </w:pPr>
            <w:r>
              <w:rPr>
                <w:rFonts w:eastAsia="Aptos" w:cs="Arial"/>
                <w:b/>
                <w:bCs/>
                <w:kern w:val="2"/>
                <w:sz w:val="22"/>
                <w:szCs w:val="22"/>
                <w:lang w:val="pl-PL" w:eastAsia="en-US" w:bidi="ar-SA"/>
              </w:rPr>
              <w:t>Okres realizacji</w:t>
            </w:r>
          </w:p>
        </w:tc>
        <w:tc>
          <w:tcPr>
            <w:tcW w:w="7187" w:type="dxa"/>
            <w:tcBorders/>
            <w:vAlign w:val="center"/>
          </w:tcPr>
          <w:p>
            <w:pPr>
              <w:pStyle w:val="NoSpacing"/>
              <w:widowControl w:val="false"/>
              <w:suppressAutoHyphens w:val="true"/>
              <w:spacing w:before="120" w:after="120"/>
              <w:rPr>
                <w:rFonts w:eastAsia="Aptos"/>
              </w:rPr>
            </w:pPr>
            <w:r>
              <w:rPr>
                <w:rFonts w:eastAsia="Aptos" w:cs=""/>
                <w:kern w:val="2"/>
                <w:sz w:val="22"/>
                <w:szCs w:val="22"/>
                <w:lang w:val="pl-PL" w:eastAsia="en-US" w:bidi="ar-SA"/>
              </w:rPr>
              <w:t>Do 2035 r.</w:t>
            </w:r>
          </w:p>
        </w:tc>
      </w:tr>
      <w:tr>
        <w:trPr/>
        <w:tc>
          <w:tcPr>
            <w:tcW w:w="1874" w:type="dxa"/>
            <w:tcBorders/>
            <w:vAlign w:val="center"/>
          </w:tcPr>
          <w:p>
            <w:pPr>
              <w:pStyle w:val="NoSpacing"/>
              <w:widowControl w:val="false"/>
              <w:suppressAutoHyphens w:val="true"/>
              <w:spacing w:before="120" w:after="120"/>
              <w:jc w:val="center"/>
              <w:rPr>
                <w:rFonts w:eastAsia="Aptos" w:cs="Arial"/>
                <w:b/>
                <w:bCs/>
              </w:rPr>
            </w:pPr>
            <w:r>
              <w:rPr>
                <w:rFonts w:eastAsia="Aptos" w:cs="Arial"/>
                <w:b/>
                <w:bCs/>
                <w:kern w:val="2"/>
                <w:sz w:val="22"/>
                <w:szCs w:val="22"/>
                <w:lang w:val="pl-PL" w:eastAsia="en-US" w:bidi="ar-SA"/>
              </w:rPr>
              <w:t>Sposób zapewnienia dostępności</w:t>
            </w:r>
          </w:p>
        </w:tc>
        <w:tc>
          <w:tcPr>
            <w:tcW w:w="7187" w:type="dxa"/>
            <w:tcBorders/>
          </w:tcPr>
          <w:p>
            <w:pPr>
              <w:pStyle w:val="NoSpacing"/>
              <w:widowControl w:val="false"/>
              <w:suppressAutoHyphens w:val="true"/>
              <w:spacing w:before="120" w:after="120"/>
              <w:rPr>
                <w:rFonts w:eastAsia="Aptos"/>
              </w:rPr>
            </w:pPr>
            <w:r>
              <w:rPr>
                <w:rFonts w:eastAsia="Aptos" w:cs=""/>
                <w:kern w:val="2"/>
                <w:sz w:val="22"/>
                <w:szCs w:val="22"/>
                <w:lang w:val="pl-PL" w:eastAsia="en-US" w:bidi="ar-SA"/>
              </w:rPr>
              <w:t>Nowa i zmodernizowana infrastruktura będzie pozbawiona barier architektonicznych i dostosowana do osób ze szczególnymi potrzebami; realizacja remontów i nowych obiektów z uwzględnieniem zasad projektowania uniwersalnego.</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17</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Zaadaptowanie niewykorzystanej przestrzeni kompleksu sportowego w Nowym Miasteczku na boisko treningowe na cele rekreacyjno-sportowe</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Utworzenie treningowego boiska piłkarskiego, które w pierwszej kolejności będzie wykorzystywane przez dzieci i młodzież (m.in. grupy młodzieżowe w kategorii Żak, Orlik i Młodzik z Miejskiego Klubu Sportowego). W drugiej kolejności będą mogli skorzystać z niego starsi piłkarze, a boisko „odciąży” jedyne w mieście pełnowymiarowe boisko sportowe, które znajduje się na terenie Stadionu Miejskiego (ze względu na intensywność zajęć na w/w boisku piłkarskim, trudno utrzymać je w odpowiednim stanie).</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 ramach prac zostanie również wymieniony stary, betonowy płot, który stwarza niebezpieczeństwo i negatywnie wpływa na wizualną część tego obszaru miasta.</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Spacing"/>
              <w:widowControl w:val="false"/>
              <w:suppressAutoHyphens w:val="true"/>
              <w:spacing w:before="120" w:after="120"/>
              <w:jc w:val="start"/>
              <w:rPr>
                <w:rFonts w:eastAsia="Aptos"/>
              </w:rPr>
            </w:pPr>
            <w:r>
              <w:rPr>
                <w:rFonts w:eastAsia="Aptos" w:cs=""/>
                <w:kern w:val="2"/>
                <w:sz w:val="22"/>
                <w:szCs w:val="22"/>
                <w:lang w:val="pl-PL" w:eastAsia="en-US" w:bidi="ar-SA"/>
              </w:rPr>
              <w:t>Poszerzenie form spędzania wolnego czasu przez mieszkańców</w:t>
            </w:r>
          </w:p>
          <w:p>
            <w:pPr>
              <w:pStyle w:val="Normal"/>
              <w:widowControl w:val="false"/>
              <w:suppressAutoHyphens w:val="true"/>
              <w:spacing w:lineRule="auto" w:line="276" w:before="120" w:after="120"/>
              <w:jc w:val="start"/>
              <w:rPr>
                <w:rFonts w:ascii="Aptos" w:hAnsi="Aptos" w:cs="Arial"/>
              </w:rPr>
            </w:pPr>
            <w:r>
              <w:rPr>
                <w:rFonts w:eastAsia="Aptos" w:cs="" w:ascii="Aptos" w:hAnsi="Aptos"/>
                <w:kern w:val="2"/>
                <w:sz w:val="22"/>
                <w:szCs w:val="22"/>
                <w:lang w:val="pl-PL" w:eastAsia="en-US" w:bidi="ar-SA"/>
              </w:rPr>
              <w:t>Poprawa estetyki i uporządkowanie przestrzeni publicznych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Powierzchnia zrewaloryzowanych terenów zielonych</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nowo utworzonych przestrzeni wspólnych</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Kompleksowe wsparcie rodzin, dzieci i młodzieży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Obręb 1 (0001), Działka nr 369/2</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MKS Nowe Miasteczko / Gmina Nowe Miasteczko</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300 000 zł</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2026-2027</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Przedsięwzięcie jest ukierunkowane na budowę boiska treningowego dla mieszkańców obszaru rewitalizacji, wśród których znajdują się również osoby ze specjalnymi potrzebami. Na zaaranżowanym obiekcie będą mogły odbywać się zawody sportowe dla osób z niepełnosprawnościami.</w:t>
            </w:r>
          </w:p>
        </w:tc>
      </w:tr>
    </w:tbl>
    <w:p>
      <w:pPr>
        <w:pStyle w:val="Normal"/>
        <w:rPr/>
      </w:pPr>
      <w:r>
        <w:rPr/>
      </w:r>
    </w:p>
    <w:tbl>
      <w:tblPr>
        <w:tblW w:w="9067" w:type="dxa"/>
        <w:jc w:val="start"/>
        <w:tblInd w:w="0" w:type="dxa"/>
        <w:tblLayout w:type="fixed"/>
        <w:tblCellMar>
          <w:top w:w="0" w:type="dxa"/>
          <w:start w:w="108" w:type="dxa"/>
          <w:bottom w:w="0" w:type="dxa"/>
          <w:end w:w="108" w:type="dxa"/>
        </w:tblCellMar>
        <w:tblLook w:firstRow="0" w:noVBand="0" w:lastRow="0" w:firstColumn="0" w:lastColumn="0" w:noHBand="0" w:val="0000"/>
      </w:tblPr>
      <w:tblGrid>
        <w:gridCol w:w="1864"/>
        <w:gridCol w:w="7202"/>
      </w:tblGrid>
      <w:tr>
        <w:trPr/>
        <w:tc>
          <w:tcPr>
            <w:tcW w:w="9066" w:type="dxa"/>
            <w:gridSpan w:val="2"/>
            <w:tcBorders>
              <w:top w:val="single" w:sz="4" w:space="0" w:color="000000"/>
              <w:start w:val="single" w:sz="4" w:space="0" w:color="000000"/>
              <w:bottom w:val="single" w:sz="4" w:space="0" w:color="000000"/>
              <w:end w:val="single" w:sz="4" w:space="0" w:color="000000"/>
            </w:tcBorders>
            <w:vAlign w:val="center"/>
          </w:tcPr>
          <w:p>
            <w:pPr>
              <w:pStyle w:val="Normal"/>
              <w:widowControl w:val="false"/>
              <w:spacing w:lineRule="auto" w:line="276" w:before="120" w:after="120"/>
              <w:jc w:val="center"/>
              <w:rPr>
                <w:rFonts w:ascii="Aptos" w:hAnsi="Aptos"/>
                <w:b/>
                <w:bCs/>
              </w:rPr>
            </w:pPr>
            <w:r>
              <w:rPr>
                <w:rFonts w:eastAsia="Aptos"/>
                <w:b/>
                <w:bCs/>
              </w:rPr>
              <w:t>PRZEDSIĘWZIĘCIE PODSTAWOWE 18</w:t>
            </w:r>
          </w:p>
        </w:tc>
      </w:tr>
      <w:tr>
        <w:trPr/>
        <w:tc>
          <w:tcPr>
            <w:tcW w:w="1864"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pacing w:lineRule="auto" w:line="276" w:before="120" w:after="120"/>
              <w:jc w:val="center"/>
              <w:rPr>
                <w:rFonts w:ascii="Aptos" w:hAnsi="Aptos"/>
                <w:b/>
                <w:bCs/>
              </w:rPr>
            </w:pPr>
            <w:r>
              <w:rPr>
                <w:rFonts w:eastAsia="Aptos"/>
                <w:b/>
                <w:bCs/>
              </w:rPr>
              <w:t>Nazwa przedsięwzięcia</w:t>
            </w:r>
          </w:p>
        </w:tc>
        <w:tc>
          <w:tcPr>
            <w:tcW w:w="7202"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pacing w:lineRule="auto" w:line="276" w:before="0" w:after="160"/>
              <w:rPr>
                <w:rFonts w:ascii="Aptos" w:hAnsi="Aptos"/>
                <w:b/>
                <w:bCs/>
              </w:rPr>
            </w:pPr>
            <w:r>
              <w:rPr>
                <w:b/>
                <w:bCs/>
              </w:rPr>
              <w:t>Nasze podwórko – rewaloryzacja, zazielenianie i poprawa bezpieczeństwa w obrębie przestrzeni publicznych i półpublicznych</w:t>
            </w:r>
          </w:p>
        </w:tc>
      </w:tr>
      <w:tr>
        <w:trPr/>
        <w:tc>
          <w:tcPr>
            <w:tcW w:w="1864"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pacing w:lineRule="auto" w:line="276" w:before="120" w:after="120"/>
              <w:jc w:val="center"/>
              <w:rPr>
                <w:rFonts w:ascii="Aptos" w:hAnsi="Aptos"/>
                <w:b/>
                <w:bCs/>
              </w:rPr>
            </w:pPr>
            <w:r>
              <w:rPr>
                <w:rFonts w:eastAsia="Aptos"/>
                <w:b/>
                <w:bCs/>
              </w:rPr>
              <w:t>Zakres</w:t>
            </w:r>
          </w:p>
        </w:tc>
        <w:tc>
          <w:tcPr>
            <w:tcW w:w="7202" w:type="dxa"/>
            <w:tcBorders>
              <w:top w:val="single" w:sz="4" w:space="0" w:color="000000"/>
              <w:start w:val="single" w:sz="4" w:space="0" w:color="000000"/>
              <w:bottom w:val="single" w:sz="4" w:space="0" w:color="000000"/>
              <w:end w:val="single" w:sz="4" w:space="0" w:color="000000"/>
            </w:tcBorders>
          </w:tcPr>
          <w:p>
            <w:pPr>
              <w:pStyle w:val="Normal"/>
              <w:widowControl w:val="false"/>
              <w:spacing w:lineRule="auto" w:line="276" w:before="0" w:after="160"/>
              <w:ind w:hanging="10" w:start="10"/>
              <w:rPr>
                <w:rFonts w:ascii="Aptos" w:hAnsi="Aptos"/>
              </w:rPr>
            </w:pPr>
            <w:r>
              <w:rPr/>
              <w:t>Tworzenie i współtworzenie niewielkich przestrzeni publicznych, półpublicznych i podwórek stanowiących element tzw. „zielonych wysp” w przestrzeni obszaru rewitalizacji poprawiających jakość życia w gęstej zabudowie oraz umożliwiających interakcje społeczne, kontakt z naturą i rekreację dla różnych grup odbiorców. W aspekcie społecznym i technicznym działania projektowe powinny być realizowane od etapu koncepcyjnego wraz z lokalną społecznością (np. budżet obywatelski, konsultacje społeczne, współudział lokalnej społeczności od etapu koncepcyjnego). Projektowane elementy powinny bazować na wartościach zastanych przestrzeni oraz ją wzbogacać, nie ujmując jej unikalnych wartości oraz niesionych treści. Ważne jest zapewnienie odpowiedniego poziomu bezpieczeństwa projektowanych i rewaloryzowanych przestrzeni m.in. poprzez oświetlenie, monitoring. Projekty mogą być urozmaicane o elementy edukacyjnej gry miejskiej lub elementy artystyczne współtworzone z udziałem mieszkańców.</w:t>
            </w:r>
          </w:p>
        </w:tc>
      </w:tr>
      <w:tr>
        <w:trPr/>
        <w:tc>
          <w:tcPr>
            <w:tcW w:w="1864"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pacing w:lineRule="auto" w:line="276" w:before="120" w:after="120"/>
              <w:jc w:val="center"/>
              <w:rPr>
                <w:rFonts w:ascii="Aptos" w:hAnsi="Aptos"/>
                <w:b/>
                <w:bCs/>
              </w:rPr>
            </w:pPr>
            <w:r>
              <w:rPr>
                <w:rFonts w:eastAsia="Aptos"/>
                <w:b/>
                <w:bCs/>
              </w:rPr>
              <w:t>Prognozowane rezultaty</w:t>
            </w:r>
          </w:p>
        </w:tc>
        <w:tc>
          <w:tcPr>
            <w:tcW w:w="7202" w:type="dxa"/>
            <w:tcBorders>
              <w:top w:val="single" w:sz="4" w:space="0" w:color="000000"/>
              <w:start w:val="single" w:sz="4" w:space="0" w:color="000000"/>
              <w:bottom w:val="single" w:sz="4" w:space="0" w:color="000000"/>
              <w:end w:val="single" w:sz="4" w:space="0" w:color="000000"/>
            </w:tcBorders>
          </w:tcPr>
          <w:p>
            <w:pPr>
              <w:pStyle w:val="NoSpacing"/>
              <w:widowControl w:val="false"/>
              <w:spacing w:before="120" w:after="120"/>
              <w:jc w:val="start"/>
              <w:rPr>
                <w:rFonts w:eastAsia="Aptos"/>
              </w:rPr>
            </w:pPr>
            <w:r>
              <w:rPr>
                <w:rFonts w:eastAsia="Aptos"/>
              </w:rPr>
              <w:t>Budowanie poczucia tożsamości i zwiększanie więzi lokalnych wśród mieszkańców</w:t>
            </w:r>
          </w:p>
          <w:p>
            <w:pPr>
              <w:pStyle w:val="Normal"/>
              <w:widowControl w:val="false"/>
              <w:spacing w:lineRule="auto" w:line="276" w:before="120" w:after="120"/>
              <w:jc w:val="start"/>
              <w:rPr>
                <w:rFonts w:eastAsia="Aptos"/>
              </w:rPr>
            </w:pPr>
            <w:r>
              <w:rPr>
                <w:rFonts w:eastAsia="Aptos"/>
              </w:rPr>
              <w:t>Poprawa estetyki i uporządkowanie przestrzeni publicznych i półpublicznych na obszarze rewitalizacji</w:t>
            </w:r>
          </w:p>
          <w:p>
            <w:pPr>
              <w:pStyle w:val="Normal"/>
              <w:widowControl w:val="false"/>
              <w:spacing w:lineRule="auto" w:line="276" w:before="120" w:after="120"/>
              <w:jc w:val="start"/>
              <w:rPr>
                <w:rFonts w:ascii="Aptos" w:hAnsi="Aptos" w:cs="Liberation Serif"/>
              </w:rPr>
            </w:pPr>
            <w:r>
              <w:rPr>
                <w:rFonts w:cs="Liberation Serif"/>
              </w:rPr>
              <w:t>Aktywizacja lokalnej społeczności</w:t>
            </w:r>
          </w:p>
          <w:p>
            <w:pPr>
              <w:pStyle w:val="Normal"/>
              <w:widowControl w:val="false"/>
              <w:spacing w:lineRule="auto" w:line="276" w:before="120" w:after="120"/>
              <w:jc w:val="start"/>
              <w:rPr>
                <w:rFonts w:ascii="Aptos" w:hAnsi="Aptos" w:cs="Liberation Serif"/>
              </w:rPr>
            </w:pPr>
            <w:r>
              <w:rPr>
                <w:rFonts w:cs="Liberation Serif"/>
              </w:rPr>
              <w:t>Wzrost poziomu integracji społecznej na obszarze rewitalizacji</w:t>
            </w:r>
          </w:p>
        </w:tc>
      </w:tr>
      <w:tr>
        <w:trPr/>
        <w:tc>
          <w:tcPr>
            <w:tcW w:w="1864"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pacing w:lineRule="auto" w:line="276" w:before="120" w:after="120"/>
              <w:jc w:val="center"/>
              <w:rPr>
                <w:rFonts w:ascii="Aptos" w:hAnsi="Aptos"/>
                <w:b/>
                <w:bCs/>
              </w:rPr>
            </w:pPr>
            <w:r>
              <w:rPr>
                <w:rFonts w:eastAsia="Aptos"/>
                <w:b/>
                <w:bCs/>
              </w:rPr>
              <w:t>Sposób oceny rezultatów</w:t>
            </w:r>
          </w:p>
        </w:tc>
        <w:tc>
          <w:tcPr>
            <w:tcW w:w="7202" w:type="dxa"/>
            <w:tcBorders>
              <w:top w:val="single" w:sz="4" w:space="0" w:color="000000"/>
              <w:start w:val="single" w:sz="4" w:space="0" w:color="000000"/>
              <w:bottom w:val="single" w:sz="4" w:space="0" w:color="000000"/>
              <w:end w:val="single" w:sz="4" w:space="0" w:color="000000"/>
            </w:tcBorders>
          </w:tcPr>
          <w:p>
            <w:pPr>
              <w:pStyle w:val="Normal"/>
              <w:widowControl w:val="false"/>
              <w:spacing w:lineRule="auto" w:line="276" w:before="120" w:after="120"/>
              <w:rPr>
                <w:rFonts w:ascii="Aptos" w:hAnsi="Aptos" w:cs="Arial"/>
              </w:rPr>
            </w:pPr>
            <w:r>
              <w:rPr>
                <w:rFonts w:cs="Arial"/>
              </w:rPr>
              <w:t>Liczba zmodernizowanych lub nowo utworzonych przestrzeni wspólnych</w:t>
            </w:r>
          </w:p>
          <w:p>
            <w:pPr>
              <w:pStyle w:val="Normal"/>
              <w:widowControl w:val="false"/>
              <w:spacing w:lineRule="auto" w:line="276" w:before="120" w:after="120"/>
              <w:rPr>
                <w:rFonts w:ascii="Aptos" w:hAnsi="Aptos"/>
              </w:rPr>
            </w:pPr>
            <w:r>
              <w:rPr>
                <w:rFonts w:cs="Arial"/>
              </w:rPr>
              <w:t>Liczba mieszkańców zaangażowanych w realizację projektu</w:t>
            </w:r>
          </w:p>
        </w:tc>
      </w:tr>
      <w:tr>
        <w:trPr/>
        <w:tc>
          <w:tcPr>
            <w:tcW w:w="1864"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pacing w:lineRule="auto" w:line="276" w:before="120" w:after="120"/>
              <w:jc w:val="center"/>
              <w:rPr>
                <w:rFonts w:ascii="Aptos" w:hAnsi="Aptos"/>
                <w:b/>
                <w:bCs/>
              </w:rPr>
            </w:pPr>
            <w:r>
              <w:rPr>
                <w:rFonts w:eastAsia="Aptos"/>
                <w:b/>
                <w:bCs/>
              </w:rPr>
              <w:t>Realizowane kierunki działań</w:t>
            </w:r>
          </w:p>
        </w:tc>
        <w:tc>
          <w:tcPr>
            <w:tcW w:w="7202" w:type="dxa"/>
            <w:tcBorders>
              <w:top w:val="single" w:sz="4" w:space="0" w:color="000000"/>
              <w:start w:val="single" w:sz="4" w:space="0" w:color="000000"/>
              <w:bottom w:val="single" w:sz="4" w:space="0" w:color="000000"/>
              <w:end w:val="single" w:sz="4" w:space="0" w:color="000000"/>
            </w:tcBorders>
          </w:tcPr>
          <w:p>
            <w:pPr>
              <w:pStyle w:val="Normal"/>
              <w:widowControl w:val="false"/>
              <w:spacing w:lineRule="auto" w:line="276" w:before="120" w:after="120"/>
              <w:rPr>
                <w:rFonts w:ascii="Aptos" w:hAnsi="Aptos"/>
              </w:rPr>
            </w:pPr>
            <w:r>
              <w:rPr/>
              <w:t>Poprawa estetyki na obszarze rewitalizacji</w:t>
            </w:r>
          </w:p>
          <w:p>
            <w:pPr>
              <w:pStyle w:val="Normal"/>
              <w:widowControl w:val="false"/>
              <w:spacing w:lineRule="auto" w:line="276" w:before="120" w:after="120"/>
              <w:rPr>
                <w:rFonts w:ascii="Aptos" w:hAnsi="Aptos"/>
              </w:rPr>
            </w:pPr>
            <w:r>
              <w:rPr/>
              <w:t>Kompleksowe wsparcie rodzin, dzieci i młodzieży na obszarze rewitalizacji</w:t>
            </w:r>
          </w:p>
          <w:p>
            <w:pPr>
              <w:pStyle w:val="Normal"/>
              <w:widowControl w:val="false"/>
              <w:spacing w:lineRule="auto" w:line="276" w:before="120" w:after="120"/>
              <w:rPr>
                <w:rFonts w:ascii="Aptos" w:hAnsi="Aptos"/>
              </w:rPr>
            </w:pPr>
            <w:r>
              <w:rPr/>
              <w:t>Animowanie aktywności obywatelskiej poprzez włączanie mieszkańców we wdrażanie działań rewitalizacyjnych</w:t>
            </w:r>
          </w:p>
        </w:tc>
      </w:tr>
      <w:tr>
        <w:trPr/>
        <w:tc>
          <w:tcPr>
            <w:tcW w:w="1864"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pacing w:lineRule="auto" w:line="276" w:before="120" w:after="120"/>
              <w:jc w:val="center"/>
              <w:rPr>
                <w:rFonts w:ascii="Aptos" w:hAnsi="Aptos"/>
                <w:b/>
                <w:bCs/>
              </w:rPr>
            </w:pPr>
            <w:r>
              <w:rPr>
                <w:rFonts w:eastAsia="Aptos"/>
                <w:b/>
                <w:bCs/>
              </w:rPr>
              <w:t>Lokalizacja</w:t>
            </w:r>
          </w:p>
        </w:tc>
        <w:tc>
          <w:tcPr>
            <w:tcW w:w="7202" w:type="dxa"/>
            <w:tcBorders>
              <w:top w:val="single" w:sz="4" w:space="0" w:color="000000"/>
              <w:start w:val="single" w:sz="4" w:space="0" w:color="000000"/>
              <w:bottom w:val="single" w:sz="4" w:space="0" w:color="000000"/>
              <w:end w:val="single" w:sz="4" w:space="0" w:color="000000"/>
            </w:tcBorders>
          </w:tcPr>
          <w:p>
            <w:pPr>
              <w:pStyle w:val="Normal"/>
              <w:widowControl w:val="false"/>
              <w:spacing w:lineRule="auto" w:line="276" w:before="120" w:after="120"/>
              <w:rPr>
                <w:rFonts w:ascii="Aptos" w:hAnsi="Aptos"/>
              </w:rPr>
            </w:pPr>
            <w:r>
              <w:rPr/>
              <w:t>Obręb 1 (0001); Działka nr 242, 241, 237, 236/2, 240, 245/2, 245/6, 245/8, 252, 251, 249, 248, 247/1, 247/2, 247/3, 247/4, 247/7, 247/6, 201, 202, 203/9, 203/8, 204, 205, 210/2, 211/2, 216, 218/9, 227/1, 227/2, 228/1, 228/2, 230/2, 230/1, 229/1, 457/2, 458, 459/1, 460, 461, 443/2, 443/1, 444, 446, 447, 448, 449, 450, 451, 452, 453, 234/2, 233/4, 233/2, 259/4, 259/5, 259/2, 258/1, 258/2, 257/2, 199, 214, 465, 471, 472, 434/1, 435/1, 435/2, 436/1, 432, 431, 430, 426, 425, 424.</w:t>
            </w:r>
          </w:p>
        </w:tc>
      </w:tr>
      <w:tr>
        <w:trPr/>
        <w:tc>
          <w:tcPr>
            <w:tcW w:w="1864"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pacing w:lineRule="auto" w:line="276" w:before="120" w:after="120"/>
              <w:jc w:val="center"/>
              <w:rPr>
                <w:rFonts w:ascii="Aptos" w:hAnsi="Aptos"/>
                <w:b/>
                <w:bCs/>
              </w:rPr>
            </w:pPr>
            <w:r>
              <w:rPr>
                <w:rFonts w:eastAsia="Aptos"/>
                <w:b/>
                <w:bCs/>
              </w:rPr>
              <w:t>Podmiot realizujący</w:t>
            </w:r>
          </w:p>
        </w:tc>
        <w:tc>
          <w:tcPr>
            <w:tcW w:w="7202" w:type="dxa"/>
            <w:tcBorders>
              <w:top w:val="single" w:sz="4" w:space="0" w:color="000000"/>
              <w:start w:val="single" w:sz="4" w:space="0" w:color="000000"/>
              <w:bottom w:val="single" w:sz="4" w:space="0" w:color="000000"/>
              <w:end w:val="single" w:sz="4" w:space="0" w:color="000000"/>
            </w:tcBorders>
          </w:tcPr>
          <w:p>
            <w:pPr>
              <w:pStyle w:val="Normal"/>
              <w:widowControl w:val="false"/>
              <w:spacing w:lineRule="auto" w:line="276" w:before="120" w:after="120"/>
              <w:rPr>
                <w:rFonts w:ascii="Aptos" w:hAnsi="Aptos"/>
              </w:rPr>
            </w:pPr>
            <w:r>
              <w:rPr>
                <w:rFonts w:ascii="Aptos" w:hAnsi="Aptos"/>
              </w:rPr>
              <w:t>Gmina Nowe Miasteczko</w:t>
            </w:r>
          </w:p>
        </w:tc>
      </w:tr>
      <w:tr>
        <w:trPr/>
        <w:tc>
          <w:tcPr>
            <w:tcW w:w="1864"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pacing w:lineRule="auto" w:line="276" w:before="120" w:after="120"/>
              <w:jc w:val="center"/>
              <w:rPr>
                <w:rFonts w:ascii="Aptos" w:hAnsi="Aptos"/>
                <w:b/>
                <w:bCs/>
              </w:rPr>
            </w:pPr>
            <w:r>
              <w:rPr>
                <w:rFonts w:eastAsia="Aptos"/>
                <w:b/>
                <w:bCs/>
              </w:rPr>
              <w:t>Szacunkowa wartość</w:t>
            </w:r>
          </w:p>
        </w:tc>
        <w:tc>
          <w:tcPr>
            <w:tcW w:w="7202" w:type="dxa"/>
            <w:tcBorders>
              <w:top w:val="single" w:sz="4" w:space="0" w:color="000000"/>
              <w:start w:val="single" w:sz="4" w:space="0" w:color="000000"/>
              <w:bottom w:val="single" w:sz="4" w:space="0" w:color="000000"/>
              <w:end w:val="single" w:sz="4" w:space="0" w:color="000000"/>
            </w:tcBorders>
          </w:tcPr>
          <w:p>
            <w:pPr>
              <w:pStyle w:val="Normal"/>
              <w:widowControl w:val="false"/>
              <w:spacing w:lineRule="auto" w:line="276" w:before="120" w:after="120"/>
              <w:rPr>
                <w:rFonts w:ascii="Aptos" w:hAnsi="Aptos" w:cs="Liberation Serif"/>
              </w:rPr>
            </w:pPr>
            <w:r>
              <w:rPr>
                <w:rFonts w:cs="Liberation Serif" w:ascii="Aptos" w:hAnsi="Aptos"/>
              </w:rPr>
              <w:t>500 000 zł</w:t>
            </w:r>
          </w:p>
        </w:tc>
      </w:tr>
      <w:tr>
        <w:trPr/>
        <w:tc>
          <w:tcPr>
            <w:tcW w:w="1864"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pacing w:lineRule="auto" w:line="276" w:before="120" w:after="120"/>
              <w:jc w:val="center"/>
              <w:rPr>
                <w:rFonts w:ascii="Aptos" w:hAnsi="Aptos"/>
                <w:b/>
                <w:bCs/>
              </w:rPr>
            </w:pPr>
            <w:r>
              <w:rPr>
                <w:rFonts w:eastAsia="Aptos"/>
                <w:b/>
                <w:bCs/>
              </w:rPr>
              <w:t>Okres realizacji</w:t>
            </w:r>
          </w:p>
        </w:tc>
        <w:tc>
          <w:tcPr>
            <w:tcW w:w="7202" w:type="dxa"/>
            <w:tcBorders>
              <w:top w:val="single" w:sz="4" w:space="0" w:color="000000"/>
              <w:start w:val="single" w:sz="4" w:space="0" w:color="000000"/>
              <w:bottom w:val="single" w:sz="4" w:space="0" w:color="000000"/>
              <w:end w:val="single" w:sz="4" w:space="0" w:color="000000"/>
            </w:tcBorders>
          </w:tcPr>
          <w:p>
            <w:pPr>
              <w:pStyle w:val="Normal"/>
              <w:widowControl w:val="false"/>
              <w:spacing w:lineRule="auto" w:line="276" w:before="120" w:after="120"/>
              <w:rPr>
                <w:rFonts w:ascii="Aptos" w:hAnsi="Aptos" w:cs="Liberation Serif"/>
              </w:rPr>
            </w:pPr>
            <w:r>
              <w:rPr>
                <w:rFonts w:cs="Liberation Serif" w:ascii="Aptos" w:hAnsi="Aptos"/>
              </w:rPr>
              <w:t>2026-2035</w:t>
            </w:r>
          </w:p>
        </w:tc>
      </w:tr>
      <w:tr>
        <w:trPr/>
        <w:tc>
          <w:tcPr>
            <w:tcW w:w="1864"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pacing w:lineRule="auto" w:line="276" w:before="120" w:after="120"/>
              <w:jc w:val="center"/>
              <w:rPr>
                <w:rFonts w:ascii="Aptos" w:hAnsi="Aptos"/>
                <w:b/>
                <w:bCs/>
              </w:rPr>
            </w:pPr>
            <w:r>
              <w:rPr>
                <w:rFonts w:eastAsia="Aptos"/>
                <w:b/>
                <w:bCs/>
              </w:rPr>
              <w:t>Sposób zapewnienia dostępności</w:t>
            </w:r>
          </w:p>
        </w:tc>
        <w:tc>
          <w:tcPr>
            <w:tcW w:w="7202" w:type="dxa"/>
            <w:tcBorders>
              <w:top w:val="single" w:sz="4" w:space="0" w:color="000000"/>
              <w:start w:val="single" w:sz="4" w:space="0" w:color="000000"/>
              <w:bottom w:val="single" w:sz="4" w:space="0" w:color="000000"/>
              <w:end w:val="single" w:sz="4" w:space="0" w:color="000000"/>
            </w:tcBorders>
          </w:tcPr>
          <w:p>
            <w:pPr>
              <w:pStyle w:val="Normal"/>
              <w:widowControl w:val="false"/>
              <w:spacing w:lineRule="auto" w:line="276" w:before="120" w:after="120"/>
              <w:rPr>
                <w:rFonts w:ascii="Aptos" w:hAnsi="Aptos"/>
              </w:rPr>
            </w:pPr>
            <w:r>
              <w:rPr/>
              <w:t>Do realizacji projektu zostaną zaproszeni wszyscy mieszkańcy zainteresowani danymi przestrzeniami, w tym osoby z niepełnosprawnościami. Zgłaszane przez nich postulaty na temat ich potrzeb będzie brany pod uwagę podczas projektowania konkretnych rozwiązań.</w:t>
            </w:r>
          </w:p>
        </w:tc>
      </w:tr>
    </w:tbl>
    <w:p>
      <w:pPr>
        <w:pStyle w:val="Normal"/>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19</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before="0" w:after="160"/>
              <w:rPr>
                <w:rFonts w:ascii="Aptos" w:hAnsi="Aptos" w:cs="Arial"/>
                <w:b/>
                <w:bCs/>
              </w:rPr>
            </w:pPr>
            <w:r>
              <w:rPr>
                <w:rFonts w:eastAsia="Aptos" w:cs="Arial" w:ascii="Aptos" w:hAnsi="Aptos"/>
                <w:b/>
                <w:bCs/>
                <w:kern w:val="2"/>
                <w:sz w:val="22"/>
                <w:szCs w:val="22"/>
                <w:lang w:val="pl-PL" w:eastAsia="en-US" w:bidi="ar-SA"/>
              </w:rPr>
              <w:t>Budowa obwodnicy Nowego Miasteczka</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Budowa drogi o standardzie drogi gminnej, która połączy dwie drogi wojewódzkie nr 328 i 333 i skieruje ruch samochodów na drogę ekspresową S3. Obwodnica odciąży obszar rewitalizacji (centrum miasta) z ruchu ciężkich samochodów oraz pojazdów rolniczych, które obecnie przyczyniają się do degradacji zabytkowej architektury miasta, w szczególności Rynku.</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Poprawa stanu bezpieczeństwa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Poprawa stanu środowiska naturalnego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Długość wybudowanych dróg</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Inwestycje w poprawę bezpieczeństwa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eastAsia="Aptos" w:cs="Arial"/>
              </w:rPr>
            </w:pPr>
            <w:r>
              <w:rPr>
                <w:rFonts w:eastAsia="Aptos" w:cs="Arial" w:ascii="Aptos" w:hAnsi="Aptos"/>
                <w:kern w:val="2"/>
                <w:sz w:val="22"/>
                <w:szCs w:val="22"/>
                <w:lang w:val="pl-PL" w:eastAsia="en-US" w:bidi="ar-SA"/>
              </w:rPr>
              <w:t>Pomiędzy drogami 328 i 333:</w:t>
            </w:r>
          </w:p>
          <w:p>
            <w:pPr>
              <w:pStyle w:val="Normal"/>
              <w:widowControl w:val="false"/>
              <w:suppressAutoHyphens w:val="true"/>
              <w:spacing w:lineRule="auto" w:line="276" w:before="120" w:after="120"/>
              <w:rPr>
                <w:rFonts w:ascii="Aptos" w:hAnsi="Aptos" w:eastAsia="Aptos" w:cs="Arial"/>
              </w:rPr>
            </w:pPr>
            <w:r>
              <w:rPr>
                <w:rFonts w:eastAsia="Aptos" w:cs="Arial" w:ascii="Aptos" w:hAnsi="Aptos"/>
                <w:kern w:val="2"/>
                <w:sz w:val="22"/>
                <w:szCs w:val="22"/>
                <w:lang w:val="pl-PL" w:eastAsia="en-US" w:bidi="ar-SA"/>
              </w:rPr>
              <w:t>- obr. Nowe Miasteczko - część działek 599/9, 509, 345/48, 345/39,</w:t>
            </w:r>
          </w:p>
          <w:p>
            <w:pPr>
              <w:pStyle w:val="Normal"/>
              <w:widowControl w:val="false"/>
              <w:suppressAutoHyphens w:val="true"/>
              <w:spacing w:lineRule="auto" w:line="276" w:before="120" w:after="120"/>
              <w:rPr>
                <w:rFonts w:ascii="Aptos" w:hAnsi="Aptos" w:eastAsia="Aptos" w:cs="Arial"/>
              </w:rPr>
            </w:pPr>
            <w:r>
              <w:rPr>
                <w:rFonts w:eastAsia="Aptos" w:cs="Arial" w:ascii="Aptos" w:hAnsi="Aptos"/>
                <w:kern w:val="2"/>
                <w:sz w:val="22"/>
                <w:szCs w:val="22"/>
                <w:lang w:val="pl-PL" w:eastAsia="en-US" w:bidi="ar-SA"/>
              </w:rPr>
              <w:t>- obr. Gołaszyn - część działek 708, 709, 518/3, 518/4, 518/6, 518/7, 710/1, 416, 415/2,</w:t>
            </w:r>
          </w:p>
          <w:p>
            <w:pPr>
              <w:pStyle w:val="Normal"/>
              <w:widowControl w:val="false"/>
              <w:suppressAutoHyphens w:val="true"/>
              <w:spacing w:lineRule="auto" w:line="276" w:before="120" w:after="120"/>
              <w:rPr>
                <w:rFonts w:ascii="Aptos" w:hAnsi="Aptos" w:eastAsia="Aptos" w:cs="Arial"/>
              </w:rPr>
            </w:pPr>
            <w:r>
              <w:rPr>
                <w:rFonts w:eastAsia="Aptos" w:cs="Arial" w:ascii="Aptos" w:hAnsi="Aptos"/>
                <w:kern w:val="2"/>
                <w:sz w:val="22"/>
                <w:szCs w:val="22"/>
                <w:lang w:val="pl-PL" w:eastAsia="en-US" w:bidi="ar-SA"/>
              </w:rPr>
              <w:t>- obr. Popęszyce - część działek 63, 84.</w:t>
            </w:r>
          </w:p>
          <w:p>
            <w:pPr>
              <w:pStyle w:val="Normal"/>
              <w:widowControl w:val="false"/>
              <w:suppressAutoHyphens w:val="true"/>
              <w:spacing w:lineRule="auto" w:line="276" w:before="120" w:after="120"/>
              <w:rPr>
                <w:rFonts w:ascii="Aptos" w:hAnsi="Aptos" w:eastAsia="Aptos" w:cs="Arial"/>
              </w:rPr>
            </w:pPr>
            <w:r>
              <w:rPr>
                <w:rFonts w:eastAsia="Aptos" w:cs="Arial" w:ascii="Aptos" w:hAnsi="Aptos"/>
                <w:kern w:val="2"/>
                <w:sz w:val="22"/>
                <w:szCs w:val="22"/>
                <w:lang w:val="pl-PL" w:eastAsia="en-US" w:bidi="ar-SA"/>
              </w:rPr>
              <w:t>Miejsce realizacji projektu znajduje się poza wyznaczonym obszarem rewitalizacji. Jego realizacja w znaczącym stopniu przyczyni się jednak do zniwelowania lub wyeliminowania problemów występujących na obszarze rewitalizacji w Nowym Miasteczku. Jak wskazano w części diagnostycznej Programu, jednym ze zjawisk generujących największą liczbę problemów na obszarze rewitalizacji jest ruch ciężkich samochodów i pojazdów rolniczych przez centrum miejskiej części Nowego Miasteczka, ze szczególnym uwzględnieniem zabytkowego Rynku. Wysokie natężenie ruchu przyczynia się do powstawania i nawarstwiania takich problemów jak: zanieczyszczenie powietrza, zanieczyszczenie hałasem, degradacja zabytkowej zabudowy Rynku, w tym budynków mieszkalnych (pękające tynki, stropy), niskie poczucie bezpieczeństwa niechronionych uczestników ruchu drogowego. Budowa obwodnicy nie tylko pozwoli na znaczące ograniczenie wskazanych problemów, ale również na zmianę charakteru miejsca, jakim jest Rynek w Nowym Miasteczku, który będzie miał szansę stać się społeczno-kulturalnym centrum gminy. W tym kontekście grupą docelową przedmiotowego projektu w równym stopniu jak kierowcy korzystający z nowo wybudowanej obwodnicy będą mieszkańcy obszaru rewitalizacji w Nowym Miasteczku.</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Gmina Nowe Miasteczko</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25 000 000 zł</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rPr>
            </w:pPr>
            <w:r>
              <w:rPr>
                <w:rFonts w:eastAsia="Aptos" w:cs="" w:ascii="Aptos" w:hAnsi="Aptos"/>
                <w:kern w:val="2"/>
                <w:sz w:val="22"/>
                <w:szCs w:val="22"/>
                <w:lang w:val="pl-PL" w:eastAsia="en-US" w:bidi="ar-SA"/>
              </w:rPr>
              <w:t>2029-2030</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Realizacja projektu przyczyni się do wzrostu poziomu bezpieczeństwa mieszkańców poruszających się w obrębie Rynku w Nowym Miasteczku, wśród których znajdują się również osoby z niepełnosprawnościami.</w:t>
            </w:r>
          </w:p>
        </w:tc>
      </w:tr>
    </w:tbl>
    <w:p>
      <w:pPr>
        <w:pStyle w:val="Normal"/>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20</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before="0" w:after="160"/>
              <w:rPr>
                <w:rFonts w:ascii="Aptos" w:hAnsi="Aptos" w:cs="Arial"/>
                <w:b/>
                <w:bCs/>
              </w:rPr>
            </w:pPr>
            <w:r>
              <w:rPr>
                <w:rFonts w:eastAsia="Aptos" w:cs="Arial" w:ascii="Aptos" w:hAnsi="Aptos"/>
                <w:b/>
                <w:bCs/>
                <w:kern w:val="2"/>
                <w:sz w:val="22"/>
                <w:szCs w:val="22"/>
                <w:lang w:val="pl-PL" w:eastAsia="en-US" w:bidi="ar-SA"/>
              </w:rPr>
              <w:t>Budowa ogrodów deszczowych w Nowym Miasteczku – adaptacja terenów zurbanizowanych do zmian klimatu</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eastAsia="Aptos" w:cs="Arial"/>
              </w:rPr>
            </w:pPr>
            <w:r>
              <w:rPr>
                <w:rFonts w:eastAsia="Aptos" w:cs="Arial" w:ascii="Aptos" w:hAnsi="Aptos"/>
                <w:kern w:val="2"/>
                <w:sz w:val="22"/>
                <w:szCs w:val="22"/>
                <w:lang w:val="pl-PL" w:eastAsia="en-US" w:bidi="ar-SA"/>
              </w:rPr>
              <w:t>W ramach projektu planowane są następujące działania:</w:t>
            </w:r>
          </w:p>
          <w:p>
            <w:pPr>
              <w:pStyle w:val="ListParagraph"/>
              <w:widowControl w:val="false"/>
              <w:numPr>
                <w:ilvl w:val="0"/>
                <w:numId w:val="11"/>
              </w:numPr>
              <w:suppressAutoHyphens w:val="true"/>
              <w:spacing w:lineRule="auto" w:line="276" w:before="120" w:after="120"/>
              <w:contextualSpacing/>
              <w:rPr>
                <w:rFonts w:ascii="Aptos" w:hAnsi="Aptos" w:cs="Arial"/>
              </w:rPr>
            </w:pPr>
            <w:r>
              <w:rPr>
                <w:rFonts w:eastAsia="Aptos" w:cs="Arial" w:ascii="Aptos" w:hAnsi="Aptos"/>
                <w:kern w:val="2"/>
                <w:sz w:val="22"/>
                <w:szCs w:val="22"/>
                <w:lang w:val="pl-PL" w:eastAsia="en-US" w:bidi="ar-SA"/>
              </w:rPr>
              <w:t>Utworzenie ogrodów deszczowych i nowe nasadzenia roślin,</w:t>
            </w:r>
          </w:p>
          <w:p>
            <w:pPr>
              <w:pStyle w:val="ListParagraph"/>
              <w:widowControl/>
              <w:numPr>
                <w:ilvl w:val="0"/>
                <w:numId w:val="11"/>
              </w:numPr>
              <w:suppressAutoHyphens w:val="true"/>
              <w:spacing w:before="0" w:after="0"/>
              <w:contextualSpacing/>
              <w:rPr>
                <w:rFonts w:ascii="Aptos" w:hAnsi="Aptos" w:eastAsia="Aptos" w:cs=""/>
                <w:kern w:val="2"/>
                <w:sz w:val="22"/>
                <w:szCs w:val="22"/>
                <w:lang w:val="pl-PL" w:eastAsia="en-US" w:bidi="ar-SA"/>
              </w:rPr>
            </w:pPr>
            <w:r>
              <w:rPr>
                <w:rFonts w:eastAsia="Aptos" w:cs=""/>
                <w:kern w:val="2"/>
                <w:sz w:val="22"/>
                <w:szCs w:val="22"/>
                <w:lang w:val="pl-PL" w:eastAsia="en-US" w:bidi="ar-SA"/>
              </w:rPr>
              <w:t>„</w:t>
            </w:r>
            <w:r>
              <w:rPr>
                <w:rFonts w:eastAsia="Aptos" w:cs=""/>
                <w:kern w:val="2"/>
                <w:sz w:val="22"/>
                <w:szCs w:val="22"/>
                <w:lang w:val="pl-PL" w:eastAsia="en-US" w:bidi="ar-SA"/>
              </w:rPr>
              <w:t>odwrócone parasole” zbierające wodę deszczową,</w:t>
            </w:r>
          </w:p>
          <w:p>
            <w:pPr>
              <w:pStyle w:val="ListParagraph"/>
              <w:widowControl/>
              <w:numPr>
                <w:ilvl w:val="0"/>
                <w:numId w:val="11"/>
              </w:numPr>
              <w:suppressAutoHyphens w:val="true"/>
              <w:spacing w:before="0" w:after="0"/>
              <w:contextualSpacing/>
              <w:rPr>
                <w:rFonts w:ascii="Aptos" w:hAnsi="Aptos" w:eastAsia="Aptos" w:cs=""/>
                <w:kern w:val="2"/>
                <w:sz w:val="22"/>
                <w:szCs w:val="22"/>
                <w:lang w:val="pl-PL" w:eastAsia="en-US" w:bidi="ar-SA"/>
              </w:rPr>
            </w:pPr>
            <w:r>
              <w:rPr>
                <w:rFonts w:eastAsia="Aptos" w:cs=""/>
                <w:kern w:val="2"/>
                <w:sz w:val="22"/>
                <w:szCs w:val="22"/>
                <w:lang w:val="pl-PL" w:eastAsia="en-US" w:bidi="ar-SA"/>
              </w:rPr>
              <w:t>kaskada wodna z oczkiem i roślinnością wodną,</w:t>
            </w:r>
          </w:p>
          <w:p>
            <w:pPr>
              <w:pStyle w:val="ListParagraph"/>
              <w:widowControl/>
              <w:numPr>
                <w:ilvl w:val="0"/>
                <w:numId w:val="11"/>
              </w:numPr>
              <w:suppressAutoHyphens w:val="true"/>
              <w:spacing w:before="0" w:after="0"/>
              <w:contextualSpacing/>
              <w:rPr>
                <w:rFonts w:ascii="Aptos" w:hAnsi="Aptos" w:eastAsia="Aptos" w:cs=""/>
                <w:kern w:val="2"/>
                <w:sz w:val="22"/>
                <w:szCs w:val="22"/>
                <w:lang w:val="pl-PL" w:eastAsia="en-US" w:bidi="ar-SA"/>
              </w:rPr>
            </w:pPr>
            <w:r>
              <w:rPr>
                <w:rFonts w:eastAsia="Aptos" w:cs=""/>
                <w:kern w:val="2"/>
                <w:sz w:val="22"/>
                <w:szCs w:val="22"/>
                <w:lang w:val="pl-PL" w:eastAsia="en-US" w:bidi="ar-SA"/>
              </w:rPr>
              <w:t>altana deszczowa ze ścieżką sensoryczną,</w:t>
            </w:r>
          </w:p>
          <w:p>
            <w:pPr>
              <w:pStyle w:val="ListParagraph"/>
              <w:widowControl/>
              <w:numPr>
                <w:ilvl w:val="0"/>
                <w:numId w:val="11"/>
              </w:numPr>
              <w:suppressAutoHyphens w:val="true"/>
              <w:spacing w:before="0" w:after="0"/>
              <w:contextualSpacing/>
              <w:rPr>
                <w:rFonts w:ascii="Aptos" w:hAnsi="Aptos" w:eastAsia="Aptos" w:cs=""/>
                <w:kern w:val="2"/>
                <w:sz w:val="22"/>
                <w:szCs w:val="22"/>
                <w:lang w:val="pl-PL" w:eastAsia="en-US" w:bidi="ar-SA"/>
              </w:rPr>
            </w:pPr>
            <w:r>
              <w:rPr>
                <w:rFonts w:eastAsia="Aptos" w:cs=""/>
                <w:kern w:val="2"/>
                <w:sz w:val="22"/>
                <w:szCs w:val="22"/>
                <w:lang w:val="pl-PL" w:eastAsia="en-US" w:bidi="ar-SA"/>
              </w:rPr>
              <w:t>drewniana kładka nad ogrodem deszczowym,</w:t>
            </w:r>
          </w:p>
          <w:p>
            <w:pPr>
              <w:pStyle w:val="ListParagraph"/>
              <w:widowControl/>
              <w:numPr>
                <w:ilvl w:val="0"/>
                <w:numId w:val="11"/>
              </w:numPr>
              <w:suppressAutoHyphens w:val="true"/>
              <w:spacing w:before="0" w:after="0"/>
              <w:contextualSpacing/>
              <w:rPr>
                <w:rFonts w:ascii="Aptos" w:hAnsi="Aptos" w:eastAsia="Aptos" w:cs=""/>
                <w:kern w:val="2"/>
                <w:sz w:val="22"/>
                <w:szCs w:val="22"/>
                <w:lang w:val="pl-PL" w:eastAsia="en-US" w:bidi="ar-SA"/>
              </w:rPr>
            </w:pPr>
            <w:r>
              <w:rPr>
                <w:rFonts w:eastAsia="Aptos" w:cs=""/>
                <w:kern w:val="2"/>
                <w:sz w:val="22"/>
                <w:szCs w:val="22"/>
                <w:lang w:val="pl-PL" w:eastAsia="en-US" w:bidi="ar-SA"/>
              </w:rPr>
              <w:t>aerator poprawiający jakość wody w zbiorniku,</w:t>
            </w:r>
          </w:p>
          <w:p>
            <w:pPr>
              <w:pStyle w:val="ListParagraph"/>
              <w:widowControl/>
              <w:numPr>
                <w:ilvl w:val="0"/>
                <w:numId w:val="11"/>
              </w:numPr>
              <w:suppressAutoHyphens w:val="true"/>
              <w:spacing w:before="0" w:after="0"/>
              <w:contextualSpacing/>
              <w:rPr>
                <w:rFonts w:ascii="Aptos" w:hAnsi="Aptos" w:eastAsia="Aptos" w:cs=""/>
                <w:kern w:val="2"/>
                <w:sz w:val="22"/>
                <w:szCs w:val="22"/>
                <w:lang w:val="pl-PL" w:eastAsia="en-US" w:bidi="ar-SA"/>
              </w:rPr>
            </w:pPr>
            <w:r>
              <w:rPr>
                <w:rFonts w:eastAsia="Aptos" w:cs=""/>
                <w:kern w:val="2"/>
                <w:sz w:val="22"/>
                <w:szCs w:val="22"/>
                <w:lang w:val="pl-PL" w:eastAsia="en-US" w:bidi="ar-SA"/>
              </w:rPr>
              <w:t>poidło miejskie dla ludzi i zwierząt.</w:t>
            </w:r>
          </w:p>
          <w:p>
            <w:pPr>
              <w:pStyle w:val="Normal"/>
              <w:widowControl/>
              <w:suppressAutoHyphens w:val="true"/>
              <w:spacing w:before="0" w:after="0"/>
              <w:rPr>
                <w:rFonts w:ascii="Aptos" w:hAnsi="Aptos" w:eastAsia="Aptos" w:cs=""/>
                <w:kern w:val="2"/>
                <w:sz w:val="22"/>
                <w:szCs w:val="22"/>
                <w:lang w:val="pl-PL" w:eastAsia="en-US" w:bidi="ar-SA"/>
              </w:rPr>
            </w:pPr>
            <w:r>
              <w:rPr>
                <w:rFonts w:eastAsia="Aptos" w:cs=""/>
                <w:kern w:val="2"/>
                <w:sz w:val="22"/>
                <w:szCs w:val="22"/>
                <w:lang w:val="pl-PL" w:eastAsia="en-US" w:bidi="ar-SA"/>
              </w:rPr>
              <w:t xml:space="preserve"> </w:t>
            </w:r>
            <w:r>
              <w:rPr>
                <w:rFonts w:eastAsia="Aptos" w:cs=""/>
                <w:kern w:val="2"/>
                <w:sz w:val="22"/>
                <w:szCs w:val="22"/>
                <w:lang w:val="pl-PL" w:eastAsia="en-US" w:bidi="ar-SA"/>
              </w:rPr>
              <w:t>Celem projektu jest przystosowanie miasta do zmian klimatu poprzez rozwój zielono-niebieskiej infrastruktury, zwiększenie bezpieczeństwa mieszkańców oraz poprawę jakości życia w Nowym Miasteczku.</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Poprawa stanu bezpieczeństwa hydrologicznego na obszarze rewitalizacji</w:t>
            </w:r>
          </w:p>
          <w:p>
            <w:pPr>
              <w:pStyle w:val="NoSpacing"/>
              <w:widowControl w:val="false"/>
              <w:suppressAutoHyphens w:val="true"/>
              <w:spacing w:before="120" w:after="120"/>
              <w:jc w:val="start"/>
              <w:rPr>
                <w:rFonts w:eastAsia="Aptos"/>
              </w:rPr>
            </w:pPr>
            <w:r>
              <w:rPr>
                <w:rFonts w:eastAsia="Aptos" w:cs=""/>
                <w:kern w:val="2"/>
                <w:sz w:val="22"/>
                <w:szCs w:val="22"/>
                <w:lang w:val="pl-PL" w:eastAsia="en-US" w:bidi="ar-SA"/>
              </w:rPr>
              <w:t>Budowanie poczucia tożsamości i zwiększanie więzi lokalnych wśród mieszkańców</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nowo utworzonych elementów błękitno-zielonej infrastruktury</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Ekologiczne działania w zakresie termomodernizacji, energomodernizacji i błękitno-zielonej infrastruktury</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Obręb 1 (0001); Działka nr 198, 244, 184/9 (fragment), 441/8, 129 (fragment), 232/3</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Gmina Nowe Miasteczko</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2 267 285,65</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rPr>
            </w:pPr>
            <w:r>
              <w:rPr>
                <w:rFonts w:eastAsia="Aptos" w:cs="" w:ascii="Aptos" w:hAnsi="Aptos"/>
                <w:kern w:val="2"/>
                <w:sz w:val="22"/>
                <w:szCs w:val="22"/>
                <w:lang w:val="pl-PL" w:eastAsia="en-US" w:bidi="ar-SA"/>
              </w:rPr>
              <w:t>2026-2027</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Przestrzeń wokół ogrodu będzie wykonana z utwardzonych i antypoślizgowych powierzchni umożliwiających swobodne poruszanie się. Oznakowanie projektu zawierać będzie czytelne tablice informacyjne elementami dostosowanymi do osób słabowidzących. Wszelkie elementy ogrodu będą zaprojektowane tak, aby unikać ostrych krawędzi.</w:t>
            </w:r>
          </w:p>
        </w:tc>
      </w:tr>
    </w:tbl>
    <w:p>
      <w:pPr>
        <w:pStyle w:val="Normal"/>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21</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before="0" w:after="160"/>
              <w:rPr>
                <w:rFonts w:ascii="Aptos" w:hAnsi="Aptos" w:cs="Arial"/>
                <w:b/>
                <w:bCs/>
              </w:rPr>
            </w:pPr>
            <w:r>
              <w:rPr>
                <w:rFonts w:eastAsia="Aptos" w:cs="Arial" w:ascii="Aptos" w:hAnsi="Aptos"/>
                <w:b/>
                <w:bCs/>
                <w:kern w:val="2"/>
                <w:sz w:val="22"/>
                <w:szCs w:val="22"/>
                <w:lang w:val="pl-PL" w:eastAsia="en-US" w:bidi="ar-SA"/>
              </w:rPr>
              <w:t>Utworzenie świetlicy wiejskiej w miejscowości Nieciecz</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 w:ascii="Aptos" w:hAnsi="Aptos"/>
                <w:kern w:val="2"/>
                <w:sz w:val="22"/>
                <w:szCs w:val="22"/>
                <w:lang w:val="pl-PL" w:eastAsia="en-US" w:bidi="ar-SA"/>
              </w:rPr>
              <w:t>(w przypadku braku odpowiedniego obiektu - może być forma kontenerowa)</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Wzrost poziomu integracji społecznej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Aktywizacja lokalnej społeczności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Poszerzenie form spędzania wolnego czasu przez mieszkańców</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nowo utworzonych miejsc integracji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Kompleksowe wsparcie rodzin, dzieci i młodzieży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Wielokierunkowe wsparcie seniorów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Animowanie aktywności obywatelskiej poprzez włączanie mieszkańców we wdrażanie działań rewitalizacyjnych</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Obszar rewitalizacji w Niecieczy</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Gmina Nowe Miasteczko</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1 000 000 zł</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rPr>
            </w:pPr>
            <w:r>
              <w:rPr>
                <w:rFonts w:eastAsia="Aptos" w:cs="" w:ascii="Aptos" w:hAnsi="Aptos"/>
                <w:kern w:val="2"/>
                <w:sz w:val="22"/>
                <w:szCs w:val="22"/>
                <w:lang w:val="pl-PL" w:eastAsia="en-US" w:bidi="ar-SA"/>
              </w:rPr>
              <w:t>Do 2035 r.</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Obiekt zostanie zaprojektowany i wybudowany w sposób zapewniający swobodny dostęp osobom ze szczególnymi potrzebami, w tym osobom z niepełnosprawnościami.</w:t>
            </w:r>
          </w:p>
        </w:tc>
      </w:tr>
    </w:tbl>
    <w:p>
      <w:pPr>
        <w:pStyle w:val="Normal"/>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22</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before="0" w:after="160"/>
              <w:rPr>
                <w:rFonts w:ascii="Aptos" w:hAnsi="Aptos" w:cs="Arial"/>
                <w:b/>
                <w:bCs/>
              </w:rPr>
            </w:pPr>
            <w:r>
              <w:rPr>
                <w:rFonts w:eastAsia="Aptos" w:cs="Arial" w:ascii="Aptos" w:hAnsi="Aptos"/>
                <w:b/>
                <w:bCs/>
                <w:kern w:val="2"/>
                <w:sz w:val="22"/>
                <w:szCs w:val="22"/>
                <w:lang w:val="pl-PL" w:eastAsia="en-US" w:bidi="ar-SA"/>
              </w:rPr>
              <w:t>Zrównoważona mobilność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Opracowanie i wdrożenie działań zmierzających do wzmocnienia zrównoważonej mobilności na obszarze rewitalizacji w Gminie Nowe Miasteczko poprzez propagowanie rozwiązań niskoemisyjnego transportu oraz działania infrastrukturalne, takie jak np. odbudowa połączeń komunikacyjnych na terenie Gminy Nowe Miasteczko, utworzenie ścieżki pieszo-rowerowej z Niecieczy do Nowego Miasteczka.</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Poprawa stanu bezpieczeństwa na obszarze rewitalizacji</w:t>
            </w:r>
          </w:p>
          <w:p>
            <w:pPr>
              <w:pStyle w:val="Normal"/>
              <w:widowControl w:val="false"/>
              <w:suppressAutoHyphens w:val="true"/>
              <w:spacing w:lineRule="auto" w:line="276" w:before="120" w:after="120"/>
              <w:jc w:val="start"/>
              <w:rPr>
                <w:rFonts w:eastAsia="Aptos"/>
              </w:rPr>
            </w:pPr>
            <w:r>
              <w:rPr>
                <w:rFonts w:eastAsia="Aptos" w:cs=""/>
                <w:kern w:val="2"/>
                <w:sz w:val="22"/>
                <w:szCs w:val="22"/>
                <w:lang w:val="pl-PL" w:eastAsia="en-US" w:bidi="ar-SA"/>
              </w:rPr>
              <w:t>Budowanie poczucia tożsamości i zwiększanie więzi lokalnych wśród mieszkańców</w:t>
            </w:r>
          </w:p>
          <w:p>
            <w:pPr>
              <w:pStyle w:val="Normal"/>
              <w:widowControl w:val="false"/>
              <w:suppressAutoHyphens w:val="true"/>
              <w:spacing w:lineRule="auto" w:line="276" w:before="120" w:after="120"/>
              <w:jc w:val="start"/>
              <w:rPr>
                <w:rFonts w:eastAsia="Aptos"/>
              </w:rPr>
            </w:pPr>
            <w:r>
              <w:rPr>
                <w:rFonts w:eastAsia="Aptos" w:cs=""/>
                <w:kern w:val="2"/>
                <w:sz w:val="22"/>
                <w:szCs w:val="22"/>
                <w:lang w:val="pl-PL" w:eastAsia="en-US" w:bidi="ar-SA"/>
              </w:rPr>
              <w:t>Poprawa estetyki i uporządkowanie przestrzeni publicznych i półpublicznych na obszarze rewitalizacji</w:t>
            </w:r>
          </w:p>
          <w:p>
            <w:pPr>
              <w:pStyle w:val="Normal"/>
              <w:widowControl w:val="false"/>
              <w:suppressAutoHyphens w:val="true"/>
              <w:spacing w:lineRule="auto" w:line="276" w:before="120" w:after="120"/>
              <w:jc w:val="start"/>
              <w:rPr>
                <w:rFonts w:ascii="Aptos" w:hAnsi="Aptos" w:cs="Arial"/>
              </w:rPr>
            </w:pPr>
            <w:r>
              <w:rPr>
                <w:rFonts w:eastAsia="Aptos" w:cs="Arial" w:ascii="Aptos" w:hAnsi="Aptos"/>
                <w:kern w:val="2"/>
                <w:sz w:val="22"/>
                <w:szCs w:val="22"/>
                <w:lang w:val="pl-PL" w:eastAsia="en-US" w:bidi="ar-SA"/>
              </w:rPr>
              <w:t>Zniwelowanie zjawiska wykluczenia komunikacyjnego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Długość utworzonych ciągów pieszo-rowerowych</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utworzonych połączeń komunikacji zbiorowej</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pasażerów komunikacji zbiorowej</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Kompleksowe wsparcie rodzin, dzieci i młodzieży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Wielokierunkowe wsparcie seniorów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Inwestycje w poprawę bezpieczeństwa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Obszar rewitalizacji Nowego Miasteczka i Niecieczy</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Gmina Nowe Miasteczko</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10 000 000 zł</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rPr>
            </w:pPr>
            <w:r>
              <w:rPr>
                <w:rFonts w:eastAsia="Aptos" w:cs="" w:ascii="Aptos" w:hAnsi="Aptos"/>
                <w:kern w:val="2"/>
                <w:sz w:val="22"/>
                <w:szCs w:val="22"/>
                <w:lang w:val="pl-PL" w:eastAsia="en-US" w:bidi="ar-SA"/>
              </w:rPr>
              <w:t>Do 2035</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Realizacja projektu ma pozytywny wpływ na zasadę równości szans i niedyskryminacji, w tym dostępności dla osób z niepełnosprawnościami. Przeprowadzenie inwestycji zapobiega wykluczeniu komunikacyjnemu mieszkańców z terenów wiejskich, zwiększając ich dostęp do usług publicznych, administracji, oferty kulturalnej i społecznej. Efekty projektu (powstała infrastruktura publiczna) będą dostępne dla wszystkich, zgodnie z postanowieniami art. 9 Konwencji ONZ o Prawach Osób Niepełnosprawnych, z poszanowaniem zasad określonych w art. 9 rozporządzenia nr 2021/1060) lub neutralne).</w:t>
            </w:r>
          </w:p>
        </w:tc>
      </w:tr>
    </w:tbl>
    <w:p>
      <w:pPr>
        <w:pStyle w:val="Normal"/>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PODSTAWOWE 23</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before="0" w:after="160"/>
              <w:rPr>
                <w:rFonts w:ascii="Aptos" w:hAnsi="Aptos" w:cs="Arial"/>
                <w:b/>
                <w:bCs/>
              </w:rPr>
            </w:pPr>
            <w:r>
              <w:rPr>
                <w:rFonts w:eastAsia="Aptos" w:cs="Arial" w:ascii="Aptos" w:hAnsi="Aptos"/>
                <w:b/>
                <w:bCs/>
                <w:kern w:val="2"/>
                <w:sz w:val="22"/>
                <w:szCs w:val="22"/>
                <w:lang w:val="pl-PL" w:eastAsia="en-US" w:bidi="ar-SA"/>
              </w:rPr>
              <w:t>Budowa kanalizacji w miejscowości Nieciecz</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Budowa kanalizacji przyczyni się do poprawy warunków życia mieszkańców oraz wpłynie na poprawę jakości środowiska.</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Prognozowane rezultaty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Poprawa stanu zasobu mieszkaniowego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oceny rezultatów</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zmodernizowanych obiektów mieszkalnych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Liczba nowo podłączonych odbiorców</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Kompleksowe wsparcie rodzin, dzieci i młodzieży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Wielokierunkowe wsparcie seniorów na obszarze rewitalizacji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Lokalizacja</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Obszar rewitalizacji w Niecieczy</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Podmiot realizujący</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Gmina Nowe Miasteczko</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Szacunkowa wartość</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25 000 000 zł</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Okres realizacji</w:t>
            </w:r>
          </w:p>
        </w:tc>
        <w:tc>
          <w:tcPr>
            <w:tcW w:w="7197" w:type="dxa"/>
            <w:tcBorders/>
          </w:tcPr>
          <w:p>
            <w:pPr>
              <w:pStyle w:val="Normal"/>
              <w:widowControl w:val="false"/>
              <w:suppressAutoHyphens w:val="true"/>
              <w:spacing w:lineRule="auto" w:line="276" w:before="120" w:after="120"/>
              <w:rPr>
                <w:rFonts w:ascii="Aptos" w:hAnsi="Aptos"/>
              </w:rPr>
            </w:pPr>
            <w:r>
              <w:rPr>
                <w:rFonts w:eastAsia="Aptos" w:cs="" w:ascii="Aptos" w:hAnsi="Aptos"/>
                <w:kern w:val="2"/>
                <w:sz w:val="22"/>
                <w:szCs w:val="22"/>
                <w:lang w:val="pl-PL" w:eastAsia="en-US" w:bidi="ar-SA"/>
              </w:rPr>
              <w:t>2030-2035</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Sposób zapewnienia dostępności</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Przedsięwzięcie jest ukierunkowane na budowę przyłączy kanalizacyjnych dla nowych odbiorców, wśród których znajdują się również osoby ze specjalnymi potrzebami.</w:t>
            </w:r>
          </w:p>
        </w:tc>
      </w:tr>
    </w:tbl>
    <w:p>
      <w:pPr>
        <w:pStyle w:val="Normal"/>
        <w:rPr/>
      </w:pPr>
      <w:r>
        <w:rPr/>
      </w:r>
    </w:p>
    <w:p>
      <w:pPr>
        <w:pStyle w:val="Heading2"/>
        <w:rPr/>
      </w:pPr>
      <w:bookmarkStart w:id="61" w:name="_Toc216991174"/>
      <w:r>
        <w:rPr/>
        <w:t>6.2. Charakterystyka pozostałych dopuszczalnych przedsięwzięć rewitalizacyjnych</w:t>
      </w:r>
      <w:bookmarkEnd w:id="61"/>
    </w:p>
    <w:p>
      <w:pPr>
        <w:pStyle w:val="Normal"/>
        <w:rPr/>
      </w:pPr>
      <w:r>
        <w:rPr/>
        <w:t>Poniższe zestawienie przedstawia charakterystykę pozostałych dopuszczalnych przedsięwzięć rewitalizacyjnych. Przedsięwzięcia te nazywane są skrótowo „przedsięwzięciami uzupełniającymi” lub „projektami uzupełniającymi”. Ich realizacja przyczyni się do zwiększenia stopnia osiągania celów rewitalizacji w Gminie Nowe Miasteczko. Szeroka paleta i otwarty zakres przedsięwzięć uzupełniających dają szansę na angażowanie i aktywizowanie interesariuszy rewitalizacji na wszystkich etapach realizacji GPR w gminie.</w:t>
      </w:r>
    </w:p>
    <w:p>
      <w:pPr>
        <w:pStyle w:val="Normal"/>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74"/>
        <w:gridCol w:w="7187"/>
      </w:tblGrid>
      <w:tr>
        <w:trPr>
          <w:trHeight w:val="394" w:hRule="atLeast"/>
        </w:trPr>
        <w:tc>
          <w:tcPr>
            <w:tcW w:w="9061" w:type="dxa"/>
            <w:gridSpan w:val="2"/>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1 (PU1)</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87" w:type="dxa"/>
            <w:tcBorders/>
            <w:vAlign w:val="center"/>
          </w:tcPr>
          <w:p>
            <w:pPr>
              <w:pStyle w:val="Normal"/>
              <w:widowControl w:val="false"/>
              <w:suppressAutoHyphens w:val="true"/>
              <w:spacing w:lineRule="auto" w:line="240" w:before="120" w:after="120"/>
              <w:rPr>
                <w:rFonts w:ascii="Aptos" w:hAnsi="Aptos" w:cs="Arial"/>
                <w:b/>
                <w:bCs/>
              </w:rPr>
            </w:pPr>
            <w:r>
              <w:rPr>
                <w:rFonts w:eastAsia="Aptos" w:cs="Arial" w:ascii="Aptos" w:hAnsi="Aptos"/>
                <w:b/>
                <w:bCs/>
                <w:kern w:val="2"/>
                <w:sz w:val="22"/>
                <w:szCs w:val="22"/>
                <w:lang w:val="pl-PL" w:eastAsia="en-US" w:bidi="ar-SA"/>
              </w:rPr>
              <w:t>Nasze miasteczko, nasza rewitalizacja</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87" w:type="dxa"/>
            <w:tcBorders/>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Wsparcie rozwoju instytucjonalnego organizacji pozarządowych, podmiotów ekonomii społecznej i inicjatyw nieformalnych w celu włączenia ich we wdrażanie działań rewitalizacyjnych</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87" w:type="dxa"/>
            <w:tcBorders/>
            <w:vAlign w:val="center"/>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Animowanie aktywności obywatelskiej poprzez włączanie mieszkańców we wdrażanie działań rewitalizacyjnych</w:t>
            </w:r>
          </w:p>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Wzmacnianie poczucia tożsamości lokalnej wśród mieszkańców obszaru rewitalizacji</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74"/>
        <w:gridCol w:w="7187"/>
      </w:tblGrid>
      <w:tr>
        <w:trPr>
          <w:trHeight w:val="394" w:hRule="atLeast"/>
        </w:trPr>
        <w:tc>
          <w:tcPr>
            <w:tcW w:w="9061" w:type="dxa"/>
            <w:gridSpan w:val="2"/>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2 (PU2)</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87" w:type="dxa"/>
            <w:tcBorders/>
            <w:vAlign w:val="center"/>
          </w:tcPr>
          <w:p>
            <w:pPr>
              <w:pStyle w:val="Normal"/>
              <w:widowControl w:val="false"/>
              <w:suppressAutoHyphens w:val="true"/>
              <w:spacing w:lineRule="auto" w:line="240" w:before="120" w:after="120"/>
              <w:rPr>
                <w:rFonts w:ascii="Aptos" w:hAnsi="Aptos" w:cs="Arial"/>
                <w:b/>
                <w:bCs/>
              </w:rPr>
            </w:pPr>
            <w:r>
              <w:rPr>
                <w:rFonts w:eastAsia="Aptos" w:cs="Arial" w:ascii="Aptos" w:hAnsi="Aptos"/>
                <w:b/>
                <w:bCs/>
                <w:kern w:val="2"/>
                <w:sz w:val="22"/>
                <w:szCs w:val="22"/>
                <w:lang w:val="pl-PL" w:eastAsia="en-US" w:bidi="ar-SA"/>
              </w:rPr>
              <w:t>Nowomiasteczkowa Szkoła Liderów</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87" w:type="dxa"/>
            <w:tcBorders/>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Powołanie młodzieżowej rady miasta, szkolenia dla szkolnych liderów, wyjazdy studyjne (m.in. do miast partnerskich)</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87" w:type="dxa"/>
            <w:tcBorders/>
            <w:vAlign w:val="center"/>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Animowanie aktywności obywatelskiej poprzez włączanie mieszkańców we wdrażanie działań rewitalizacyjnych</w:t>
            </w:r>
          </w:p>
          <w:p>
            <w:pPr>
              <w:pStyle w:val="NoSpacing"/>
              <w:widowControl w:val="false"/>
              <w:suppressAutoHyphens w:val="true"/>
              <w:rPr>
                <w:rFonts w:ascii="Aptos" w:hAnsi="Aptos"/>
              </w:rPr>
            </w:pPr>
            <w:r>
              <w:rPr>
                <w:rFonts w:eastAsia="Aptos" w:cs="" w:ascii="Aptos" w:hAnsi="Aptos"/>
                <w:kern w:val="2"/>
                <w:sz w:val="22"/>
                <w:szCs w:val="22"/>
                <w:lang w:val="pl-PL" w:eastAsia="en-US" w:bidi="ar-SA"/>
              </w:rPr>
              <w:t>Kompleksowe wsparcie rodzin, dzieci i młodzieży na obszarze rewitalizacji</w:t>
            </w:r>
          </w:p>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Wzmacnianie poczucia tożsamości lokalnej wśród mieszkańców obszaru rewitalizacji</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3 (PU3)</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Pokolenia dla pokoleń</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 w:ascii="Aptos" w:hAnsi="Aptos"/>
                <w:kern w:val="2"/>
                <w:sz w:val="22"/>
                <w:szCs w:val="22"/>
                <w:lang w:val="pl-PL" w:eastAsia="en-US" w:bidi="ar-SA"/>
              </w:rPr>
              <w:t>Cykl spotkań integrujących lokalną społeczność, podczas których przedstawiciele starszych pokoleń będą przekazywać młodzieży swoje doświadczenia - warsztaty kulinarne, warsztaty rękodzieła, szycia, rozmowy o obrzędach, historii, stworzenie archiwum historii mówionej Nowego Miasteczka</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Animowanie aktywności obywatelskiej poprzez włączanie mieszkańców we wdrażanie działań rewitalizacyjnych</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Wzmacnianie poczucia tożsamości lokalnej wśród mieszkańców obszaru rewitalizacji</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74"/>
        <w:gridCol w:w="7187"/>
      </w:tblGrid>
      <w:tr>
        <w:trPr>
          <w:trHeight w:val="394" w:hRule="atLeast"/>
        </w:trPr>
        <w:tc>
          <w:tcPr>
            <w:tcW w:w="9061" w:type="dxa"/>
            <w:gridSpan w:val="2"/>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4 (PU4)</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87" w:type="dxa"/>
            <w:tcBorders/>
            <w:vAlign w:val="center"/>
          </w:tcPr>
          <w:p>
            <w:pPr>
              <w:pStyle w:val="Normal"/>
              <w:widowControl w:val="false"/>
              <w:suppressAutoHyphens w:val="true"/>
              <w:spacing w:lineRule="auto" w:line="240" w:before="120" w:after="120"/>
              <w:rPr>
                <w:rFonts w:ascii="Aptos" w:hAnsi="Aptos" w:cs="Arial"/>
                <w:b/>
                <w:bCs/>
              </w:rPr>
            </w:pPr>
            <w:r>
              <w:rPr>
                <w:rFonts w:eastAsia="Aptos" w:cs="Arial" w:ascii="Aptos" w:hAnsi="Aptos"/>
                <w:b/>
                <w:bCs/>
                <w:kern w:val="2"/>
                <w:sz w:val="22"/>
                <w:szCs w:val="22"/>
                <w:lang w:val="pl-PL" w:eastAsia="en-US" w:bidi="ar-SA"/>
              </w:rPr>
              <w:t>Senior – seniorowi</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87" w:type="dxa"/>
            <w:tcBorders/>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Projekt obejmie 10 seniorów, którzy uczestniczyli we wcześniejszych projektach realizowanych przez Ośrodek Pomocy Społecznej w Nowym Miasteczku. Osoby, które były uczestnikami innych projektów, aby uczestniczyć w nowym projekcie, są zobowiązane przyjść z osobą, która nie była beneficjentem projektów. Projekt będzie opierać się na zajęciach manualnych oraz odkrywaniu produktów regionalnych. Zajęcia manualne będą realizowane przez pracowników OPS w Nowym Miasteczku, natomiast odkrywanie regionu będzie polegać na wyjazdach studyjnych.</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87" w:type="dxa"/>
            <w:tcBorders/>
            <w:vAlign w:val="center"/>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Animowanie aktywności obywatelskiej poprzez włączanie mieszkańców we wdrażanie działań rewitalizacyjnych</w:t>
            </w:r>
          </w:p>
          <w:p>
            <w:pPr>
              <w:pStyle w:val="NoSpacing"/>
              <w:widowControl w:val="false"/>
              <w:suppressAutoHyphens w:val="true"/>
              <w:rPr>
                <w:rFonts w:ascii="Aptos" w:hAnsi="Aptos"/>
              </w:rPr>
            </w:pPr>
            <w:r>
              <w:rPr>
                <w:rFonts w:eastAsia="Aptos" w:cs="" w:ascii="Aptos" w:hAnsi="Aptos"/>
                <w:kern w:val="2"/>
                <w:sz w:val="22"/>
                <w:szCs w:val="22"/>
                <w:lang w:val="pl-PL" w:eastAsia="en-US" w:bidi="ar-SA"/>
              </w:rPr>
              <w:t>Wzmacnianie poczucia tożsamości lokalnej wśród mieszkańców obszaru rewitalizacji</w:t>
            </w:r>
          </w:p>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Wielokierunkowe wsparcie seniorów na obszarze rewitalizacji</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74"/>
        <w:gridCol w:w="7187"/>
      </w:tblGrid>
      <w:tr>
        <w:trPr>
          <w:trHeight w:val="394" w:hRule="atLeast"/>
        </w:trPr>
        <w:tc>
          <w:tcPr>
            <w:tcW w:w="9061" w:type="dxa"/>
            <w:gridSpan w:val="2"/>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5 (PU5)</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87" w:type="dxa"/>
            <w:tcBorders/>
            <w:vAlign w:val="center"/>
          </w:tcPr>
          <w:p>
            <w:pPr>
              <w:pStyle w:val="Normal"/>
              <w:widowControl w:val="false"/>
              <w:suppressAutoHyphens w:val="true"/>
              <w:spacing w:lineRule="auto" w:line="240" w:before="120" w:after="120"/>
              <w:rPr>
                <w:rFonts w:ascii="Aptos" w:hAnsi="Aptos" w:cs="Arial"/>
                <w:b/>
                <w:bCs/>
              </w:rPr>
            </w:pPr>
            <w:r>
              <w:rPr>
                <w:rFonts w:eastAsia="Aptos" w:cs="Arial" w:ascii="Aptos" w:hAnsi="Aptos"/>
                <w:b/>
                <w:bCs/>
                <w:kern w:val="2"/>
                <w:sz w:val="22"/>
                <w:szCs w:val="22"/>
                <w:lang w:val="pl-PL" w:eastAsia="en-US" w:bidi="ar-SA"/>
              </w:rPr>
              <w:t>Domowy salon</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87" w:type="dxa"/>
            <w:tcBorders/>
          </w:tcPr>
          <w:p>
            <w:pPr>
              <w:pStyle w:val="NoSpacing"/>
              <w:widowControl w:val="false"/>
              <w:suppressAutoHyphens w:val="true"/>
              <w:spacing w:before="120" w:after="120"/>
              <w:rPr>
                <w:rFonts w:ascii="Aptos" w:hAnsi="Aptos"/>
              </w:rPr>
            </w:pPr>
            <w:r>
              <w:rPr>
                <w:rFonts w:eastAsia="Aptos" w:cs="" w:ascii="Aptos" w:hAnsi="Aptos"/>
                <w:bCs/>
                <w:kern w:val="2"/>
                <w:sz w:val="22"/>
                <w:szCs w:val="22"/>
                <w:lang w:val="pl-PL" w:eastAsia="en-US" w:bidi="ar-SA"/>
              </w:rPr>
              <w:t>Projekt skierowany do osób z niepełnosprawnościami, trwale leżących oraz seniorów, którzy mają problem z poruszaniem. Będą oni mogli skorzystać z usług w formie mobilnego fryzjera oraz usług kosmetycznych (zabiegi pielęgnacyjne).</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87" w:type="dxa"/>
            <w:tcBorders/>
            <w:vAlign w:val="center"/>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Wielokierunkowe wsparcie seniorów na obszarze rewitalizacji</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6 (PU6)</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Ekologiczny Rynek</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 w:ascii="Aptos" w:hAnsi="Aptos"/>
                <w:kern w:val="2"/>
                <w:sz w:val="22"/>
                <w:szCs w:val="22"/>
                <w:lang w:val="pl-PL" w:eastAsia="en-US" w:bidi="ar-SA"/>
              </w:rPr>
              <w:t>Wymiana źródeł ogrzewania na ekologiczne, termomodernizacja budynków przeprowadzona z poszanowaniem historycznych elementów wystroju obiektów zabytkowych lub o wartościach historycznych i architektonicznych, wprowadzenie dodatkowej zieleni w nawiązaniu do układów historycznych oraz z wykorzystaniem gatunków rodzimych</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tabs>
                <w:tab w:val="clear" w:pos="708"/>
                <w:tab w:val="left" w:pos="1674" w:leader="none"/>
              </w:tabs>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Ekologiczne działania w zakresie termomodernizacji, energomodernizacji i błękitno-zielonej infrastruktury</w:t>
            </w:r>
          </w:p>
          <w:p>
            <w:pPr>
              <w:pStyle w:val="Normal"/>
              <w:widowControl w:val="false"/>
              <w:tabs>
                <w:tab w:val="clear" w:pos="708"/>
                <w:tab w:val="left" w:pos="1674" w:leader="none"/>
              </w:tabs>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Nadanie Rynkowi charakteru kulturalnego, społecznego i gospodarczego centrum Nowego Miasteczka</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7 (PU7)</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Oddech dla Rynku w Nowym Miasteczku</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 w:ascii="Aptos" w:hAnsi="Aptos"/>
                <w:kern w:val="2"/>
                <w:sz w:val="22"/>
                <w:szCs w:val="22"/>
                <w:lang w:val="pl-PL" w:eastAsia="en-US" w:bidi="ar-SA"/>
              </w:rPr>
              <w:t>Ograniczenie/zlikwidowanie ruchu samochodowego w obrębie Rynku w Nowym Miasteczku, stworzenie wysp zieleni, dodanie elementów małej architektury</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Inwestycje w poprawę bezpieczeństwa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Nadanie Rynkowi charakteru kulturalnego, społecznego i gospodarczego centrum Nowego Miasteczka</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74"/>
        <w:gridCol w:w="7187"/>
      </w:tblGrid>
      <w:tr>
        <w:trPr>
          <w:trHeight w:val="394" w:hRule="atLeast"/>
        </w:trPr>
        <w:tc>
          <w:tcPr>
            <w:tcW w:w="9061" w:type="dxa"/>
            <w:gridSpan w:val="2"/>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8 (PU8)</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87" w:type="dxa"/>
            <w:tcBorders/>
            <w:vAlign w:val="center"/>
          </w:tcPr>
          <w:p>
            <w:pPr>
              <w:pStyle w:val="Normal"/>
              <w:widowControl w:val="false"/>
              <w:suppressAutoHyphens w:val="true"/>
              <w:spacing w:lineRule="auto" w:line="240" w:before="120" w:after="120"/>
              <w:rPr>
                <w:rFonts w:ascii="Aptos" w:hAnsi="Aptos" w:cs="Arial"/>
                <w:b/>
                <w:bCs/>
              </w:rPr>
            </w:pPr>
            <w:r>
              <w:rPr>
                <w:rFonts w:eastAsia="Aptos" w:cs="Arial" w:ascii="Aptos" w:hAnsi="Aptos"/>
                <w:b/>
                <w:bCs/>
                <w:kern w:val="2"/>
                <w:sz w:val="22"/>
                <w:szCs w:val="22"/>
                <w:lang w:val="pl-PL" w:eastAsia="en-US" w:bidi="ar-SA"/>
              </w:rPr>
              <w:t>Make-up dla Rynku w Nowym Miasteczku</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87" w:type="dxa"/>
            <w:tcBorders/>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Uporządkowanie chaosu reklamowego w centrum Nowego Miasteczka poprzez realizację szyldów reklamowych i witryn o spójnej stylistyce nawiązującej do rozwiązań historycznych, harmonijnie wpisujących się w walory architektoniczne elewacji budynków, odpowiadające charakterowi i historii miejsca np. poprzez realizację szyldów nawiązujących do szczątkowo zachowanych lub znanych z przekazów ikonograficznych. Możliwe jest rozpisanie konkursu architektonicznego, zaangażowanie do projektu lokalnych artystów/projektantów, a także współpraca ze studentami ASP w zakresie zaprojektowania szyldów. Dopuszczalne jest przyjęcie uchwały krajobrazowej.</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87" w:type="dxa"/>
            <w:tcBorders/>
            <w:vAlign w:val="center"/>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Nadanie Rynkowi charakteru kulturalnego, społecznego i gospodarczego centrum Nowego Miasteczka</w:t>
            </w:r>
          </w:p>
          <w:p>
            <w:pPr>
              <w:pStyle w:val="NoSpacing"/>
              <w:widowControl w:val="false"/>
              <w:suppressAutoHyphens w:val="true"/>
              <w:rPr>
                <w:rFonts w:ascii="Aptos" w:hAnsi="Aptos"/>
              </w:rPr>
            </w:pPr>
            <w:r>
              <w:rPr>
                <w:rFonts w:eastAsia="Aptos" w:cs="" w:ascii="Aptos" w:hAnsi="Aptos"/>
                <w:kern w:val="2"/>
                <w:sz w:val="22"/>
                <w:szCs w:val="22"/>
                <w:lang w:val="pl-PL" w:eastAsia="en-US" w:bidi="ar-SA"/>
              </w:rPr>
              <w:t>Poprawa estetyki na obszarze rewitalizacji</w:t>
            </w:r>
          </w:p>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Wzmacnianie poczucia tożsamości lokalnej wśród mieszkańców obszaru rewitalizacji</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74"/>
        <w:gridCol w:w="7187"/>
      </w:tblGrid>
      <w:tr>
        <w:trPr>
          <w:trHeight w:val="394" w:hRule="atLeast"/>
        </w:trPr>
        <w:tc>
          <w:tcPr>
            <w:tcW w:w="9061" w:type="dxa"/>
            <w:gridSpan w:val="2"/>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9 (PU9)</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87" w:type="dxa"/>
            <w:tcBorders/>
            <w:vAlign w:val="center"/>
          </w:tcPr>
          <w:p>
            <w:pPr>
              <w:pStyle w:val="Normal"/>
              <w:widowControl w:val="false"/>
              <w:suppressAutoHyphens w:val="true"/>
              <w:spacing w:lineRule="auto" w:line="240" w:before="120" w:after="120"/>
              <w:rPr>
                <w:rFonts w:ascii="Aptos" w:hAnsi="Aptos" w:cs="Arial"/>
                <w:b/>
                <w:bCs/>
              </w:rPr>
            </w:pPr>
            <w:r>
              <w:rPr>
                <w:rFonts w:eastAsia="Aptos" w:cs="Arial" w:ascii="Aptos" w:hAnsi="Aptos"/>
                <w:b/>
                <w:bCs/>
                <w:kern w:val="2"/>
                <w:sz w:val="22"/>
                <w:szCs w:val="22"/>
                <w:lang w:val="pl-PL" w:eastAsia="en-US" w:bidi="ar-SA"/>
              </w:rPr>
              <w:t>Poprawa stanu technicznego mieszkań socjalnych na obszarze rewitalizacji</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87" w:type="dxa"/>
            <w:tcBorders/>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Bieżące remonty i poprawa jakości życia mieszkańców w mieszkania socjalnych. Wpłynie to na oszczędności w codziennym użytkowaniu lokali i przyczyni się do poprawy ochrony środowiska.</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87" w:type="dxa"/>
            <w:tcBorders/>
            <w:vAlign w:val="center"/>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Kompleksowe wsparcie rodzin, dzieci i młodzieży na obszarze rewitalizacji</w:t>
            </w:r>
            <w:bookmarkStart w:id="62" w:name="_Hlk215397579"/>
            <w:bookmarkEnd w:id="62"/>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74"/>
        <w:gridCol w:w="7187"/>
      </w:tblGrid>
      <w:tr>
        <w:trPr>
          <w:trHeight w:val="394" w:hRule="atLeast"/>
        </w:trPr>
        <w:tc>
          <w:tcPr>
            <w:tcW w:w="9061" w:type="dxa"/>
            <w:gridSpan w:val="2"/>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10 (PU10)</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87" w:type="dxa"/>
            <w:tcBorders/>
            <w:vAlign w:val="center"/>
          </w:tcPr>
          <w:p>
            <w:pPr>
              <w:pStyle w:val="Normal"/>
              <w:widowControl w:val="false"/>
              <w:suppressAutoHyphens w:val="true"/>
              <w:spacing w:lineRule="auto" w:line="240" w:before="120" w:after="120"/>
              <w:rPr>
                <w:rFonts w:ascii="Aptos" w:hAnsi="Aptos" w:cs="Arial"/>
                <w:b/>
                <w:bCs/>
              </w:rPr>
            </w:pPr>
            <w:r>
              <w:rPr>
                <w:rFonts w:eastAsia="Aptos" w:cs="Arial" w:ascii="Aptos" w:hAnsi="Aptos"/>
                <w:b/>
                <w:bCs/>
                <w:kern w:val="2"/>
                <w:sz w:val="22"/>
                <w:szCs w:val="22"/>
                <w:lang w:val="pl-PL" w:eastAsia="en-US" w:bidi="ar-SA"/>
              </w:rPr>
              <w:t>Barwy jesieni</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87" w:type="dxa"/>
            <w:tcBorders/>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Utworzenie i wyposażenie w ramach GOK miejsca spotkań dla seniorów</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87" w:type="dxa"/>
            <w:tcBorders/>
            <w:vAlign w:val="center"/>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Wielokierunkowe wsparcie seniorów na obszarze rewitalizacji</w:t>
            </w:r>
          </w:p>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Animowanie aktywności obywatelskiej poprzez włączanie mieszkańców we wdrażanie działań rewitalizacyjnych</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74"/>
        <w:gridCol w:w="7187"/>
      </w:tblGrid>
      <w:tr>
        <w:trPr>
          <w:trHeight w:val="394" w:hRule="atLeast"/>
        </w:trPr>
        <w:tc>
          <w:tcPr>
            <w:tcW w:w="9061" w:type="dxa"/>
            <w:gridSpan w:val="2"/>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11 (PU11)</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87" w:type="dxa"/>
            <w:tcBorders/>
            <w:vAlign w:val="center"/>
          </w:tcPr>
          <w:p>
            <w:pPr>
              <w:pStyle w:val="Normal"/>
              <w:widowControl w:val="false"/>
              <w:suppressAutoHyphens w:val="true"/>
              <w:spacing w:lineRule="auto" w:line="240" w:before="120" w:after="120"/>
              <w:rPr>
                <w:rFonts w:ascii="Aptos" w:hAnsi="Aptos" w:cs="Arial"/>
                <w:b/>
                <w:bCs/>
              </w:rPr>
            </w:pPr>
            <w:r>
              <w:rPr>
                <w:rFonts w:eastAsia="Aptos" w:cs="Arial" w:ascii="Aptos" w:hAnsi="Aptos"/>
                <w:b/>
                <w:bCs/>
                <w:kern w:val="2"/>
                <w:sz w:val="22"/>
                <w:szCs w:val="22"/>
                <w:lang w:val="pl-PL" w:eastAsia="en-US" w:bidi="ar-SA"/>
              </w:rPr>
              <w:t>Adaptacja dworu w Popęszycach do nowych funkcji</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87" w:type="dxa"/>
            <w:tcBorders/>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Wymiana instalacji grzewczej i elektrycznej, remont pomieszczeń, dostosowanie obiektu do potrzeb osób z niepełnosprawnościami. Stworzenie nowej funkcji związanej z usługami społecznymi.</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87" w:type="dxa"/>
            <w:tcBorders/>
            <w:vAlign w:val="center"/>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Kompleksowe wsparcie rodzin, dzieci i młodzieży na obszarze rewitalizacji</w:t>
            </w:r>
          </w:p>
          <w:p>
            <w:pPr>
              <w:pStyle w:val="NoSpacing"/>
              <w:widowControl w:val="false"/>
              <w:suppressAutoHyphens w:val="true"/>
              <w:spacing w:before="120" w:after="120"/>
              <w:rPr>
                <w:rFonts w:ascii="Aptos" w:hAnsi="Aptos"/>
              </w:rPr>
            </w:pPr>
            <w:r>
              <w:rPr>
                <w:rFonts w:eastAsia="Aptos" w:cs="Arial" w:ascii="Aptos" w:hAnsi="Aptos"/>
                <w:kern w:val="2"/>
                <w:sz w:val="22"/>
                <w:szCs w:val="22"/>
                <w:lang w:val="pl-PL" w:eastAsia="en-US" w:bidi="ar-SA"/>
              </w:rPr>
              <w:t>Wielokierunkowe wsparcie seniorów na obszarze rewitalizacji</w:t>
            </w:r>
          </w:p>
        </w:tc>
      </w:tr>
    </w:tbl>
    <w:p>
      <w:pPr>
        <w:pStyle w:val="Normal"/>
        <w:spacing w:lineRule="auto" w:line="276" w:before="120" w:after="120"/>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74"/>
        <w:gridCol w:w="7187"/>
      </w:tblGrid>
      <w:tr>
        <w:trPr>
          <w:trHeight w:val="394" w:hRule="atLeast"/>
        </w:trPr>
        <w:tc>
          <w:tcPr>
            <w:tcW w:w="9061" w:type="dxa"/>
            <w:gridSpan w:val="2"/>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12 (PU 12)</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87" w:type="dxa"/>
            <w:tcBorders/>
            <w:vAlign w:val="center"/>
          </w:tcPr>
          <w:p>
            <w:pPr>
              <w:pStyle w:val="Normal"/>
              <w:widowControl w:val="false"/>
              <w:suppressAutoHyphens w:val="true"/>
              <w:spacing w:lineRule="auto" w:line="240" w:before="120" w:after="120"/>
              <w:rPr>
                <w:rFonts w:ascii="Aptos" w:hAnsi="Aptos" w:cs="Arial"/>
                <w:b/>
                <w:bCs/>
              </w:rPr>
            </w:pPr>
            <w:r>
              <w:rPr>
                <w:rFonts w:eastAsia="Aptos" w:cs="Arial" w:ascii="Aptos" w:hAnsi="Aptos"/>
                <w:b/>
                <w:bCs/>
                <w:kern w:val="2"/>
                <w:sz w:val="22"/>
                <w:szCs w:val="22"/>
                <w:lang w:val="pl-PL" w:eastAsia="en-US" w:bidi="ar-SA"/>
              </w:rPr>
              <w:t>Społeczna gastronomia</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87" w:type="dxa"/>
            <w:tcBorders/>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Utworzenie w Rynku w Nowym Miasteczku spółdzielni socjalnej o profilu gastronomicznym, która stanowiłaby nie tylko przestrzeń dla integracji mieszkańców i oferowała nową formę spędzania wolnego czasu, ale w głównej mierze również aktywizowała osoby zagrożone wykluczeniem społecznym.</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87" w:type="dxa"/>
            <w:tcBorders/>
            <w:vAlign w:val="center"/>
          </w:tcPr>
          <w:p>
            <w:pPr>
              <w:pStyle w:val="NoSpacing"/>
              <w:widowControl w:val="false"/>
              <w:suppressAutoHyphens w:val="true"/>
              <w:spacing w:before="120" w:after="120"/>
              <w:rPr>
                <w:rFonts w:eastAsia="Aptos"/>
              </w:rPr>
            </w:pPr>
            <w:r>
              <w:rPr>
                <w:rFonts w:eastAsia="Aptos" w:cs=""/>
                <w:kern w:val="2"/>
                <w:sz w:val="22"/>
                <w:szCs w:val="22"/>
                <w:lang w:val="pl-PL" w:eastAsia="en-US" w:bidi="ar-SA"/>
              </w:rPr>
              <w:t>Animowanie aktywności obywatelskiej poprzez włączanie mieszkańców we wdrażanie działań rewitalizacyjnych</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Wspieranie przedsiębiorczości na obszarze rewitalizacji</w:t>
            </w:r>
          </w:p>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Wzmacnianie poczucia tożsamości lokalnej wśród mieszkańców obszaru rewitalizacji</w:t>
            </w:r>
          </w:p>
        </w:tc>
      </w:tr>
    </w:tbl>
    <w:p>
      <w:pPr>
        <w:pStyle w:val="Normal"/>
        <w:rPr/>
      </w:pPr>
      <w:r>
        <w:rPr/>
      </w:r>
    </w:p>
    <w:tbl>
      <w:tblPr>
        <w:tblStyle w:val="Tabela-Siatka"/>
        <w:tblW w:w="9067" w:type="dxa"/>
        <w:jc w:val="start"/>
        <w:tblInd w:w="-5" w:type="dxa"/>
        <w:tblLayout w:type="fixed"/>
        <w:tblCellMar>
          <w:top w:w="0" w:type="dxa"/>
          <w:start w:w="108" w:type="dxa"/>
          <w:bottom w:w="0" w:type="dxa"/>
          <w:end w:w="108" w:type="dxa"/>
        </w:tblCellMar>
        <w:tblLook w:firstRow="1" w:noVBand="1" w:lastRow="0" w:firstColumn="1" w:lastColumn="0" w:noHBand="0" w:val="04a0"/>
      </w:tblPr>
      <w:tblGrid>
        <w:gridCol w:w="1865"/>
        <w:gridCol w:w="7201"/>
      </w:tblGrid>
      <w:tr>
        <w:trPr/>
        <w:tc>
          <w:tcPr>
            <w:tcW w:w="9066"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13 (PU13)</w:t>
            </w:r>
          </w:p>
        </w:tc>
      </w:tr>
      <w:tr>
        <w:trPr/>
        <w:tc>
          <w:tcPr>
            <w:tcW w:w="1865"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201"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Kawiarnia "małoMiasteczkowa"</w:t>
            </w:r>
          </w:p>
        </w:tc>
      </w:tr>
      <w:tr>
        <w:trPr/>
        <w:tc>
          <w:tcPr>
            <w:tcW w:w="1865"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201" w:type="dxa"/>
            <w:tcBorders/>
          </w:tcPr>
          <w:p>
            <w:pPr>
              <w:pStyle w:val="Normal"/>
              <w:widowControl w:val="false"/>
              <w:suppressAutoHyphens w:val="true"/>
              <w:spacing w:lineRule="auto" w:line="276" w:before="120" w:after="120"/>
              <w:rPr>
                <w:rFonts w:ascii="Aptos" w:hAnsi="Aptos" w:cs="Arial"/>
              </w:rPr>
            </w:pPr>
            <w:r>
              <w:rPr>
                <w:rFonts w:eastAsia="Aptos" w:cs="" w:ascii="Aptos" w:hAnsi="Aptos"/>
                <w:kern w:val="2"/>
                <w:sz w:val="22"/>
                <w:szCs w:val="22"/>
                <w:lang w:val="pl-PL" w:eastAsia="en-US" w:bidi="ar-SA"/>
              </w:rPr>
              <w:t>Utworzenie lokalu gastronomicznego i powierzenie prowadzenia go stowarzyszeniu/spółdzielni socjalnej</w:t>
            </w:r>
          </w:p>
        </w:tc>
      </w:tr>
      <w:tr>
        <w:trPr/>
        <w:tc>
          <w:tcPr>
            <w:tcW w:w="1865"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201"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Animowanie aktywności obywatelskiej poprzez włączanie mieszkańców we wdrażanie działań rewitalizacyjnych</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Wspieranie przedsiębiorczości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Wzmacnianie poczucia tożsamości lokalnej wśród mieszkańców obszaru rewitalizacji</w:t>
            </w:r>
          </w:p>
        </w:tc>
      </w:tr>
    </w:tbl>
    <w:p>
      <w:pPr>
        <w:pStyle w:val="Normal"/>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14 (PU14)</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Kulturalne "czwartki" w Małomiasteczkowej</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 w:ascii="Aptos" w:hAnsi="Aptos"/>
                <w:kern w:val="2"/>
                <w:sz w:val="22"/>
                <w:szCs w:val="22"/>
                <w:lang w:val="pl-PL" w:eastAsia="en-US" w:bidi="ar-SA"/>
              </w:rPr>
              <w:t>Cykliczne wydarzenia o różnym charakterze (spotkania autorskie, wieczorki literackie, kabaret/stand-up, warsztaty, muzyka na żywo, pogadanki zdrowotne z lekarzem, farmaceutą)</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Nadanie Rynkowi charakteru kulturalnego, społecznego i gospodarczego centrum Nowego Miasteczka</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Wzmacnianie poczucia tożsamości lokalnej wśród mieszkańców obszaru rewitalizacji</w:t>
            </w:r>
          </w:p>
        </w:tc>
      </w:tr>
    </w:tbl>
    <w:p>
      <w:pPr>
        <w:pStyle w:val="Normal"/>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74"/>
        <w:gridCol w:w="7187"/>
      </w:tblGrid>
      <w:tr>
        <w:trPr>
          <w:trHeight w:val="394" w:hRule="atLeast"/>
        </w:trPr>
        <w:tc>
          <w:tcPr>
            <w:tcW w:w="9061" w:type="dxa"/>
            <w:gridSpan w:val="2"/>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15 (PU 15)</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87" w:type="dxa"/>
            <w:tcBorders/>
            <w:vAlign w:val="center"/>
          </w:tcPr>
          <w:p>
            <w:pPr>
              <w:pStyle w:val="Normal"/>
              <w:widowControl w:val="false"/>
              <w:suppressAutoHyphens w:val="true"/>
              <w:spacing w:lineRule="auto" w:line="240" w:before="120" w:after="120"/>
              <w:rPr>
                <w:rFonts w:ascii="Aptos" w:hAnsi="Aptos" w:cs="Arial"/>
                <w:b/>
                <w:bCs/>
              </w:rPr>
            </w:pPr>
            <w:r>
              <w:rPr>
                <w:rFonts w:eastAsia="Aptos" w:cs="Arial" w:ascii="Aptos" w:hAnsi="Aptos"/>
                <w:b/>
                <w:bCs/>
                <w:kern w:val="2"/>
                <w:sz w:val="22"/>
                <w:szCs w:val="22"/>
                <w:lang w:val="pl-PL" w:eastAsia="en-US" w:bidi="ar-SA"/>
              </w:rPr>
              <w:t>Klimatyczny obszar rewitalizacji</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87" w:type="dxa"/>
            <w:tcBorders/>
          </w:tcPr>
          <w:p>
            <w:pPr>
              <w:pStyle w:val="NoSpacing"/>
              <w:widowControl w:val="false"/>
              <w:suppressAutoHyphens w:val="true"/>
              <w:spacing w:before="120" w:after="120"/>
              <w:rPr>
                <w:rFonts w:ascii="Aptos" w:hAnsi="Aptos"/>
              </w:rPr>
            </w:pPr>
            <w:r>
              <w:rPr>
                <w:rFonts w:eastAsia="Aptos" w:cs="" w:ascii="Aptos" w:hAnsi="Aptos"/>
                <w:kern w:val="2"/>
                <w:sz w:val="22"/>
                <w:szCs w:val="22"/>
                <w:lang w:val="pl-PL" w:eastAsia="en-US" w:bidi="ar-SA"/>
              </w:rPr>
              <w:t>Wdrażanie szerokiego wachlarza działań mitygacyjnych i adaptacyjnych do zachodzących zmian klimatu, na obszarze rewitalizacji i na terenach w jego sąsiedztwie, które nadal będą oddziaływać na obszar rewitalizacji. Ciągłe poszukiwania nowych rozwiązań, w ślad za najnowszymi badaniami i wdrożeniami.</w:t>
            </w:r>
          </w:p>
        </w:tc>
      </w:tr>
      <w:tr>
        <w:trPr/>
        <w:tc>
          <w:tcPr>
            <w:tcW w:w="1874" w:type="dxa"/>
            <w:tcBorders/>
            <w:vAlign w:val="center"/>
          </w:tcPr>
          <w:p>
            <w:pPr>
              <w:pStyle w:val="NoSpacing"/>
              <w:widowControl w:val="false"/>
              <w:suppressAutoHyphens w:val="true"/>
              <w:spacing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87" w:type="dxa"/>
            <w:tcBorders/>
            <w:vAlign w:val="center"/>
          </w:tcPr>
          <w:p>
            <w:pPr>
              <w:pStyle w:val="NoSpacing"/>
              <w:widowControl w:val="false"/>
              <w:suppressAutoHyphens w:val="true"/>
              <w:spacing w:before="120" w:after="120"/>
              <w:rPr>
                <w:rFonts w:ascii="Aptos" w:hAnsi="Aptos"/>
              </w:rPr>
            </w:pPr>
            <w:r>
              <w:rPr>
                <w:rFonts w:eastAsia="Aptos" w:cs="Arial" w:ascii="Aptos" w:hAnsi="Aptos"/>
                <w:kern w:val="2"/>
                <w:sz w:val="22"/>
                <w:szCs w:val="22"/>
                <w:lang w:val="pl-PL" w:eastAsia="en-US" w:bidi="ar-SA"/>
              </w:rPr>
              <w:t>Ekologiczne działania w zakresie termomodernizacji, energomodernizacji i błękitno-zielonej infrastruktury</w:t>
            </w:r>
          </w:p>
        </w:tc>
      </w:tr>
    </w:tbl>
    <w:p>
      <w:pPr>
        <w:pStyle w:val="Normal"/>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74"/>
        <w:gridCol w:w="718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16 (PU16)</w:t>
            </w:r>
          </w:p>
        </w:tc>
      </w:tr>
      <w:tr>
        <w:trPr/>
        <w:tc>
          <w:tcPr>
            <w:tcW w:w="187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8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Przyjazny i dostępny urząd</w:t>
            </w:r>
          </w:p>
        </w:tc>
      </w:tr>
      <w:tr>
        <w:trPr/>
        <w:tc>
          <w:tcPr>
            <w:tcW w:w="187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8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Dostosowanie budynków GOK i UM do potrzeb osób z niepełnosprawnościami w sposób ograniczający ingerencję i harmonizujący z walorami zabytkowymi budynków.</w:t>
            </w:r>
          </w:p>
        </w:tc>
      </w:tr>
      <w:tr>
        <w:trPr/>
        <w:tc>
          <w:tcPr>
            <w:tcW w:w="187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8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Poprawa dostępności najważniejszych miejsc na obszarze rewitalizacji dla osób ze szczególnymi potrzebami</w:t>
            </w:r>
          </w:p>
        </w:tc>
      </w:tr>
    </w:tbl>
    <w:p>
      <w:pPr>
        <w:pStyle w:val="Normal"/>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17 (PU17)</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Jestem z Nowego Miasteczka, czyli...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Kompleksowy projekt agregujący działania polegające na propagowaniu i ochronie lokalnego dziedzictwa materialnego i niematerialnego (przykład: konserwacja, restauracja i uwidocznienie historycznej tablicy upamiętniającej na budynku GOK-u, zainstalowanie tablic informacyjnych dotyczących najważniejszych i najciekawszych wydarzeń z 700-letniej historii miasta</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Poprawa estetyki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Wzmacnianie poczucia tożsamości lokalnej wśród mieszkańców obszaru rewitalizacji</w:t>
            </w:r>
          </w:p>
        </w:tc>
      </w:tr>
    </w:tbl>
    <w:p>
      <w:pPr>
        <w:pStyle w:val="Normal"/>
        <w:rPr/>
      </w:pPr>
      <w:r>
        <w:rPr/>
      </w:r>
    </w:p>
    <w:tbl>
      <w:tblPr>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top w:val="single" w:sz="4" w:space="0" w:color="000000"/>
              <w:start w:val="single" w:sz="4" w:space="0" w:color="000000"/>
              <w:bottom w:val="single" w:sz="4" w:space="0" w:color="000000"/>
              <w:end w:val="single" w:sz="4" w:space="0" w:color="000000"/>
            </w:tcBorders>
            <w:vAlign w:val="center"/>
          </w:tcPr>
          <w:p>
            <w:pPr>
              <w:pStyle w:val="Normal"/>
              <w:widowControl w:val="false"/>
              <w:spacing w:lineRule="auto" w:line="276" w:before="120" w:after="120"/>
              <w:jc w:val="center"/>
              <w:rPr>
                <w:rFonts w:ascii="Aptos" w:hAnsi="Aptos"/>
                <w:b/>
                <w:bCs/>
              </w:rPr>
            </w:pPr>
            <w:r>
              <w:rPr>
                <w:rFonts w:eastAsia="Aptos" w:cs="Arial"/>
                <w:b/>
                <w:bCs/>
              </w:rPr>
              <w:t>PRZEDSIĘWZIĘCIE UZUPEŁNIAJĄCE 18 (PU18)</w:t>
            </w:r>
          </w:p>
        </w:tc>
      </w:tr>
      <w:tr>
        <w:trPr/>
        <w:tc>
          <w:tcPr>
            <w:tcW w:w="1864"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pacing w:lineRule="auto" w:line="276" w:before="120" w:after="120"/>
              <w:jc w:val="center"/>
              <w:rPr>
                <w:rFonts w:ascii="Aptos" w:hAnsi="Aptos"/>
                <w:b/>
                <w:bCs/>
              </w:rPr>
            </w:pPr>
            <w:r>
              <w:rPr>
                <w:rFonts w:eastAsia="Aptos" w:cs="Arial"/>
                <w:b/>
                <w:bCs/>
              </w:rPr>
              <w:t>Nazwa przedsięwzięcia</w:t>
            </w:r>
          </w:p>
        </w:tc>
        <w:tc>
          <w:tcPr>
            <w:tcW w:w="7197"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pacing w:lineRule="auto" w:line="276" w:before="0" w:after="160"/>
              <w:rPr>
                <w:rFonts w:ascii="Aptos" w:hAnsi="Aptos"/>
                <w:b/>
                <w:bCs/>
                <w:color w:val="000000"/>
              </w:rPr>
            </w:pPr>
            <w:r>
              <w:rPr>
                <w:b/>
                <w:bCs/>
                <w:color w:val="000000"/>
              </w:rPr>
              <w:t>Realizacja muzeum/izby pamięci w obiekcie historycznym</w:t>
            </w:r>
          </w:p>
        </w:tc>
      </w:tr>
      <w:tr>
        <w:trPr/>
        <w:tc>
          <w:tcPr>
            <w:tcW w:w="1864"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pacing w:lineRule="auto" w:line="276" w:before="120" w:after="120"/>
              <w:jc w:val="center"/>
              <w:rPr>
                <w:rFonts w:ascii="Aptos" w:hAnsi="Aptos"/>
                <w:b/>
                <w:bCs/>
              </w:rPr>
            </w:pPr>
            <w:r>
              <w:rPr>
                <w:rFonts w:eastAsia="Aptos" w:cs="Arial"/>
                <w:b/>
                <w:bCs/>
              </w:rPr>
              <w:t>Zakres</w:t>
            </w:r>
          </w:p>
        </w:tc>
        <w:tc>
          <w:tcPr>
            <w:tcW w:w="7197" w:type="dxa"/>
            <w:tcBorders>
              <w:top w:val="single" w:sz="4" w:space="0" w:color="000000"/>
              <w:start w:val="single" w:sz="4" w:space="0" w:color="000000"/>
              <w:bottom w:val="single" w:sz="4" w:space="0" w:color="000000"/>
              <w:end w:val="single" w:sz="4" w:space="0" w:color="000000"/>
            </w:tcBorders>
          </w:tcPr>
          <w:p>
            <w:pPr>
              <w:pStyle w:val="Normal"/>
              <w:widowControl w:val="false"/>
              <w:spacing w:lineRule="auto" w:line="276" w:before="0" w:after="160"/>
              <w:rPr>
                <w:rFonts w:ascii="Aptos" w:hAnsi="Aptos"/>
              </w:rPr>
            </w:pPr>
            <w:r>
              <w:rPr/>
              <w:t>Np. wieża kościoła Opatrzności Bożej z wykorzystaniem walorów wnętrz i widokowych aspektów lokalizacji</w:t>
            </w:r>
          </w:p>
        </w:tc>
      </w:tr>
      <w:tr>
        <w:trPr/>
        <w:tc>
          <w:tcPr>
            <w:tcW w:w="1864"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pacing w:lineRule="auto" w:line="276" w:before="120" w:after="120"/>
              <w:jc w:val="center"/>
              <w:rPr>
                <w:rFonts w:ascii="Aptos" w:hAnsi="Aptos"/>
                <w:b/>
                <w:bCs/>
              </w:rPr>
            </w:pPr>
            <w:r>
              <w:rPr>
                <w:rFonts w:eastAsia="Aptos" w:cs="Arial"/>
                <w:b/>
                <w:bCs/>
              </w:rPr>
              <w:t>Realizowane kierunki działań</w:t>
            </w:r>
          </w:p>
        </w:tc>
        <w:tc>
          <w:tcPr>
            <w:tcW w:w="7197" w:type="dxa"/>
            <w:tcBorders>
              <w:top w:val="single" w:sz="4" w:space="0" w:color="000000"/>
              <w:start w:val="single" w:sz="4" w:space="0" w:color="000000"/>
              <w:bottom w:val="single" w:sz="4" w:space="0" w:color="000000"/>
              <w:end w:val="single" w:sz="4" w:space="0" w:color="000000"/>
            </w:tcBorders>
          </w:tcPr>
          <w:p>
            <w:pPr>
              <w:pStyle w:val="Normal"/>
              <w:widowControl w:val="false"/>
              <w:spacing w:lineRule="auto" w:line="276" w:before="120" w:after="120"/>
              <w:rPr>
                <w:rFonts w:ascii="Aptos" w:hAnsi="Aptos"/>
              </w:rPr>
            </w:pPr>
            <w:r>
              <w:rPr/>
              <w:t>Wzmacnianie poczucia tożsamości lokalnej wśród mieszkańców obszaru rewitalizacji</w:t>
            </w:r>
          </w:p>
        </w:tc>
      </w:tr>
    </w:tbl>
    <w:p>
      <w:pPr>
        <w:pStyle w:val="Normal"/>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19 (PU19)</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lineRule="auto" w:line="276" w:before="120" w:after="120"/>
              <w:rPr>
                <w:rFonts w:ascii="Aptos" w:hAnsi="Aptos" w:cs="Arial"/>
                <w:b/>
                <w:bCs/>
              </w:rPr>
            </w:pPr>
            <w:r>
              <w:rPr>
                <w:rFonts w:eastAsia="Aptos" w:cs="Arial" w:ascii="Aptos" w:hAnsi="Aptos"/>
                <w:b/>
                <w:bCs/>
                <w:kern w:val="2"/>
                <w:sz w:val="22"/>
                <w:szCs w:val="22"/>
                <w:lang w:val="pl-PL" w:eastAsia="en-US" w:bidi="ar-SA"/>
              </w:rPr>
              <w:t>Zaadaptowanie budynku dawnej szkoły drzewnej w Nowym Miasteczku na cele społeczne i kulturalne</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Dokończenie rozpoczętego remontu obiektu. Przystosowania obiektu do nowych funkcji.</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Kompleksowe wsparcie rodzin, dzieci i młodzieży na obszarze rewitalizacji</w:t>
            </w:r>
          </w:p>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Wielokierunkowe wsparcie seniorów na obszarze rewitalizacji</w:t>
            </w:r>
          </w:p>
        </w:tc>
      </w:tr>
    </w:tbl>
    <w:p>
      <w:pPr>
        <w:pStyle w:val="Normal"/>
        <w:rPr/>
      </w:pPr>
      <w:r>
        <w:rPr/>
      </w:r>
    </w:p>
    <w:tbl>
      <w:tblPr>
        <w:tblStyle w:val="Tabela-Siatka"/>
        <w:tblW w:w="9062"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864"/>
        <w:gridCol w:w="7197"/>
      </w:tblGrid>
      <w:tr>
        <w:trPr/>
        <w:tc>
          <w:tcPr>
            <w:tcW w:w="9061" w:type="dxa"/>
            <w:gridSpan w:val="2"/>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PRZEDSIĘWZIĘCIE UZUPEŁNIAJĄCE 20 (PU20)</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Nazwa przedsięwzięcia</w:t>
            </w:r>
          </w:p>
        </w:tc>
        <w:tc>
          <w:tcPr>
            <w:tcW w:w="7197" w:type="dxa"/>
            <w:tcBorders/>
            <w:vAlign w:val="center"/>
          </w:tcPr>
          <w:p>
            <w:pPr>
              <w:pStyle w:val="Normal"/>
              <w:widowControl w:val="false"/>
              <w:suppressAutoHyphens w:val="true"/>
              <w:spacing w:before="0" w:after="160"/>
              <w:rPr>
                <w:rFonts w:ascii="Aptos" w:hAnsi="Aptos" w:cs="Arial"/>
                <w:b/>
                <w:bCs/>
              </w:rPr>
            </w:pPr>
            <w:r>
              <w:rPr>
                <w:rFonts w:eastAsia="Aptos" w:cs="Arial" w:ascii="Aptos" w:hAnsi="Aptos"/>
                <w:b/>
                <w:bCs/>
                <w:kern w:val="2"/>
                <w:sz w:val="22"/>
                <w:szCs w:val="22"/>
                <w:lang w:val="pl-PL" w:eastAsia="en-US" w:bidi="ar-SA"/>
              </w:rPr>
              <w:t>Zagospodarowanie terenu historycznego nawsia w miejscowości Nieciecz</w:t>
            </w:r>
          </w:p>
        </w:tc>
      </w:tr>
      <w:tr>
        <w:trPr>
          <w:trHeight w:val="338" w:hRule="atLeast"/>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Zakres</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Zagospodarowanie terenu historycznego nawsia w Niecieczy (zlokalizowanego w centrum wsi, pierwotnie stanowiącego własność wspólną wsi i służącego wspólnym celom) jako przestrzeni dla celów integracji społecznej oraz kontynuującego tradycję miejsca (miejsce spotkań, rekreacji dla dzieci i młodzieży), przestrzeń do organizacji przedsięwzięć kultywujących lokalne tradycje i zasoby np. targów lokalnych rolników, rzemieślników, w tym sprzedaż wyrobów tradycyjnych i rękodzieła).</w:t>
            </w:r>
          </w:p>
        </w:tc>
      </w:tr>
      <w:tr>
        <w:trPr/>
        <w:tc>
          <w:tcPr>
            <w:tcW w:w="1864" w:type="dxa"/>
            <w:tcBorders/>
            <w:vAlign w:val="center"/>
          </w:tcPr>
          <w:p>
            <w:pPr>
              <w:pStyle w:val="Normal"/>
              <w:widowControl w:val="false"/>
              <w:suppressAutoHyphens w:val="true"/>
              <w:spacing w:lineRule="auto" w:line="276" w:before="120" w:after="120"/>
              <w:jc w:val="center"/>
              <w:rPr>
                <w:rFonts w:ascii="Aptos" w:hAnsi="Aptos" w:cs="Arial"/>
                <w:b/>
                <w:bCs/>
              </w:rPr>
            </w:pPr>
            <w:r>
              <w:rPr>
                <w:rFonts w:eastAsia="Aptos" w:cs="Arial" w:ascii="Aptos" w:hAnsi="Aptos"/>
                <w:b/>
                <w:bCs/>
                <w:kern w:val="2"/>
                <w:sz w:val="22"/>
                <w:szCs w:val="22"/>
                <w:lang w:val="pl-PL" w:eastAsia="en-US" w:bidi="ar-SA"/>
              </w:rPr>
              <w:t>Realizowane kierunki działań</w:t>
            </w:r>
          </w:p>
        </w:tc>
        <w:tc>
          <w:tcPr>
            <w:tcW w:w="7197" w:type="dxa"/>
            <w:tcBorders/>
          </w:tcPr>
          <w:p>
            <w:pPr>
              <w:pStyle w:val="Normal"/>
              <w:widowControl w:val="false"/>
              <w:suppressAutoHyphens w:val="true"/>
              <w:spacing w:lineRule="auto" w:line="276" w:before="120" w:after="120"/>
              <w:rPr>
                <w:rFonts w:ascii="Aptos" w:hAnsi="Aptos" w:cs="Arial"/>
              </w:rPr>
            </w:pPr>
            <w:r>
              <w:rPr>
                <w:rFonts w:eastAsia="Aptos" w:cs="Arial" w:ascii="Aptos" w:hAnsi="Aptos"/>
                <w:kern w:val="2"/>
                <w:sz w:val="22"/>
                <w:szCs w:val="22"/>
                <w:lang w:val="pl-PL" w:eastAsia="en-US" w:bidi="ar-SA"/>
              </w:rPr>
              <w:t>Wzmacnianie poczucia tożsamości lokalnej wśród mieszkańców obszaru rewitalizacji</w:t>
            </w:r>
          </w:p>
        </w:tc>
      </w:tr>
    </w:tbl>
    <w:p>
      <w:pPr>
        <w:pStyle w:val="Normal"/>
        <w:rPr/>
      </w:pPr>
      <w:r>
        <w:rPr/>
      </w:r>
    </w:p>
    <w:p>
      <w:pPr>
        <w:pStyle w:val="Normal"/>
        <w:rPr/>
      </w:pPr>
      <w:r>
        <w:rPr/>
      </w:r>
      <w:r>
        <w:br w:type="page"/>
      </w:r>
    </w:p>
    <w:p>
      <w:pPr>
        <w:pStyle w:val="Heading1"/>
        <w:spacing w:before="0" w:after="80"/>
        <w:rPr/>
      </w:pPr>
      <w:bookmarkStart w:id="63" w:name="_Toc216991175"/>
      <w:r>
        <w:rPr/>
        <w:t>7. MECHANIZMY INTEGROWANIA DZIAŁAŃ ORAZ PRZEDSIĘWZIĘĆ REWITALIZACYJNYCH</w:t>
      </w:r>
      <w:bookmarkEnd w:id="63"/>
    </w:p>
    <w:p>
      <w:pPr>
        <w:pStyle w:val="Normal"/>
        <w:rPr>
          <w:color w:val="C00000"/>
        </w:rPr>
      </w:pPr>
      <w:r>
        <w:rPr>
          <w:color w:val="C00000"/>
        </w:rPr>
      </w:r>
    </w:p>
    <w:p>
      <w:pPr>
        <w:pStyle w:val="Normal"/>
        <w:rPr/>
      </w:pPr>
      <w:r>
        <w:rPr/>
        <w:t>Realizacja celów GPR wymaga równoczesnej realizacji wielu przedsięwzięć rewitalizacyjnych o różnorodnym charakterze. Konieczność integrowania działań podejmowanych przez podmioty i osoby zaangażowane we wdrażanie GPR wynika także z charakteru i zakresu zidentyfikowanych przedsięwzięć.</w:t>
      </w:r>
    </w:p>
    <w:p>
      <w:pPr>
        <w:pStyle w:val="Normal"/>
        <w:rPr/>
      </w:pPr>
      <w:r>
        <w:rPr/>
        <w:t xml:space="preserve">Przy opisanych przedsięwzięciach rewitalizacyjnych w poprzednim rozdziale wskazano m.in. najważniejsze kierunki działań, do których realizacji się one przyczynią. Korzystając z tych ustaleń, przy planowaniu i wdrażaniu przedsięwzięć w pierwszej kolejności należy przeanalizować, które z nich są lub powinny być ze sobą komplementarne. Przedsięwzięcia komplementarne to takie, które pomagają w rozwiązywaniu podobnych problemów występujących na obszarze rewitalizacji i które przyczyniają się do realizacji podobnych lub powiązanych celów i kierunków działań. </w:t>
      </w:r>
    </w:p>
    <w:p>
      <w:pPr>
        <w:pStyle w:val="Normal"/>
        <w:rPr/>
      </w:pPr>
      <w:r>
        <w:rPr/>
        <w:t>Jako przykłady można wskazać przedsięwzięcia realizujące kierunek działań „Wzmacnianie poczucia tożsamości lokalnej wśród mieszkańców obszaru rewitalizacji”. Są to np. „Rynek – bijące serce Nowego Miasteczka”, „Świetlica w Niecieczy miejscem aktywności wszystkich mieszkańców”, „Młodzi u siebie”, „Nasze miasteczko, nasza rewitalizacja”, „Pokolenia dla pokoleń” czy „Jestem z Nowego Miasteczka, czyli...”.</w:t>
      </w:r>
    </w:p>
    <w:p>
      <w:pPr>
        <w:pStyle w:val="Normal"/>
        <w:rPr/>
      </w:pPr>
      <w:r>
        <w:rPr/>
        <w:t xml:space="preserve">Do realnej integracji działań i przedsięwzięć rewitalizacyjnych, wynikających z GPR, konieczne jest dokonywanie cyklicznego przeglądu potrzeb interesariuszy i stanu realizacji przedsięwzięć rewitalizacyjnych. Mechanizmem integracji w tym zakresie będą regularne, odbywające się (co najmniej raz na kwartał) spotkania koordynacyjne Zespołu ds. Rewitalizacji. W ich trakcie będą omawiane m.in. powiązania pomiędzy przedsięwzięciami rewitalizacyjnymi. To istotne dla powodzenia realizacji </w:t>
      </w:r>
      <w:r>
        <w:rPr>
          <w:i/>
          <w:iCs/>
        </w:rPr>
        <w:t>Programu</w:t>
      </w:r>
      <w:r>
        <w:rPr/>
        <w:t xml:space="preserve"> i wykorzystywania potencjału wdrażanych przedsięwzięć, bowiem realizacja wielu z nich, w szczególności tych integrujących społeczność obszaru rewitalizacji i całej Gminy Nowe Miasteczko, odbywać się będzie równocześnie z poprawą i rozwojem infrastruktury. Innym mechanizmem integracji będzie podtrzymywanie stałej współpracy ze stroną społeczną i otoczeniem gospodarczym, która została szczegółowo opisana w rozdziale 10.</w:t>
      </w:r>
    </w:p>
    <w:p>
      <w:pPr>
        <w:pStyle w:val="Normal"/>
        <w:rPr>
          <w:highlight w:val="yellow"/>
        </w:rPr>
      </w:pPr>
      <w:r>
        <w:rPr/>
        <w:t>Integrowanie działań oraz przedsięwzięć rewitalizacyjnych wynika z zasad dotyczących wyznaczania granic obszaru rewitalizacji, jak i prac nad Programem. Do zasad tych należą m.in. zasada koncentracji przestrzennej (prowadzenie procesu rewitalizacji na wybranym fragmencie miasta o szczególnej koncentracji problemów społecznych i in.), komplementarność problemowa (integrowanie różnych polityk samorządu lokalnego: przestrzennej, społecznej, gospodarcze i in.), komplementarność proceduralno-instancjonalna (uwzględnienie lokalnej specyfiki przy tworzeniu systemu zarządzania GPR), komplementarność międzyokresowa (spójność działań przewidzianych w okresie do 2035 roku ze zrealizowanymi i trwającymi obecnie przedsięwzięciami rewitalizacyjnymi), komplementarność źródeł finansowania (dążenie do pozyskiwania środków na realizację przedsięwzięć rewitalizacyjnych ze źródeł zewnętrznych oraz do łączenia środków publicznych i prywatnych).</w:t>
      </w:r>
    </w:p>
    <w:p>
      <w:pPr>
        <w:pStyle w:val="Normal"/>
        <w:rPr/>
      </w:pPr>
      <w:r>
        <w:rPr/>
      </w:r>
    </w:p>
    <w:p>
      <w:pPr>
        <w:pStyle w:val="Heading1"/>
        <w:rPr/>
      </w:pPr>
      <w:bookmarkStart w:id="64" w:name="_Toc216991176"/>
      <w:r>
        <w:rPr/>
        <w:t>8. SZACUNKOWE RAMY FINANSOWE PROGRAMU</w:t>
      </w:r>
      <w:bookmarkEnd w:id="64"/>
    </w:p>
    <w:p>
      <w:pPr>
        <w:pStyle w:val="Normal"/>
        <w:rPr/>
      </w:pPr>
      <w:r>
        <w:rPr/>
      </w:r>
    </w:p>
    <w:p>
      <w:pPr>
        <w:pStyle w:val="Heading2"/>
        <w:rPr/>
      </w:pPr>
      <w:bookmarkStart w:id="65" w:name="_Toc216991177"/>
      <w:r>
        <w:rPr/>
        <w:t>8.1. Ramy finansowe realizacji Programu</w:t>
      </w:r>
      <w:bookmarkEnd w:id="65"/>
    </w:p>
    <w:p>
      <w:pPr>
        <w:pStyle w:val="Normal"/>
        <w:rPr/>
      </w:pPr>
      <w:r>
        <w:rPr/>
        <w:t xml:space="preserve">Łączne szacunkowe środki finansowe przewidywane na realizację </w:t>
      </w:r>
      <w:r>
        <w:rPr>
          <w:rFonts w:cs="Arial"/>
          <w:i/>
        </w:rPr>
        <w:t>Programu</w:t>
      </w:r>
      <w:r>
        <w:rPr/>
        <w:t xml:space="preserve"> obejmują środki kierowane na realizację podstawowych przedsięwzięć rewitalizacyjnych w kwocie około 76,8 mln złotych.</w:t>
      </w:r>
    </w:p>
    <w:p>
      <w:pPr>
        <w:pStyle w:val="Normal"/>
        <w:rPr/>
      </w:pPr>
      <w:r>
        <w:rPr/>
        <w:t xml:space="preserve">Zgodnie z przyjętymi założeniami podstawę finansowania GPR będą stanowić środki finansowe Gminy Nowe Miasteczko oraz środki zewnętrzne. Gmina będzie w pierwszej kolejności dążyć do przeznaczania jak największej sumy środków z budżetu miasta na realizację przedsięwzięć rewitalizacyjnych. Jednocześnie będzie aktywnie poszukiwała zewnętrznych źródeł finansowania. Źródła te zostały szczegółowo opisane w kolejnym podrozdziale. W toku realizacji GPR znaczenie będą miały również zasoby własne (finansowe i niefinansowe) interesariuszy procesu rewitalizacji zaangażowanych we wdrażanie przedsięwzięć rewitalizacyjnych. Będą to m.in. praca wolontariuszy, społeczników i liderów lokalnych, zasoby lokalowe, specjalistyczny sprzęt, środki właścicieli nieruchomości itd. </w:t>
      </w:r>
    </w:p>
    <w:p>
      <w:pPr>
        <w:pStyle w:val="Normal"/>
        <w:rPr/>
      </w:pPr>
      <w:r>
        <w:rPr/>
      </w:r>
    </w:p>
    <w:p>
      <w:pPr>
        <w:pStyle w:val="Normal"/>
        <w:rPr/>
      </w:pPr>
      <w:r>
        <w:rPr/>
      </w:r>
    </w:p>
    <w:p>
      <w:pPr>
        <w:pStyle w:val="Normal"/>
        <w:rPr/>
      </w:pPr>
      <w:r>
        <w:rPr/>
      </w:r>
    </w:p>
    <w:p>
      <w:pPr>
        <w:pStyle w:val="Normal"/>
        <w:rPr/>
      </w:pPr>
      <w:r>
        <w:rPr/>
      </w:r>
    </w:p>
    <w:p>
      <w:pPr>
        <w:pStyle w:val="Tabele"/>
        <w:jc w:val="center"/>
        <w:rPr/>
      </w:pPr>
      <w:bookmarkStart w:id="66" w:name="_Toc216991206"/>
      <w:bookmarkStart w:id="67" w:name="_Toc196596437"/>
      <w:bookmarkStart w:id="68" w:name="_Toc212187920"/>
      <w:r>
        <w:rPr/>
        <w:t>Tabela 4. Szacowane koszty realizacji podstawowych przedsięwzięć rewitalizacyjnych wynikających z GPR</w:t>
      </w:r>
      <w:bookmarkEnd w:id="66"/>
      <w:bookmarkEnd w:id="67"/>
      <w:bookmarkEnd w:id="68"/>
    </w:p>
    <w:tbl>
      <w:tblPr>
        <w:tblStyle w:val="Tabelasiatki1jasna1"/>
        <w:tblW w:w="9351"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4544"/>
        <w:gridCol w:w="801"/>
        <w:gridCol w:w="802"/>
        <w:gridCol w:w="800"/>
        <w:gridCol w:w="802"/>
        <w:gridCol w:w="800"/>
        <w:gridCol w:w="801"/>
      </w:tblGrid>
      <w:tr>
        <w:trPr>
          <w:trHeight w:val="300" w:hRule="atLeast"/>
          <w:cnfStyle w:val="100000000000" w:firstRow="1" w:lastRow="0" w:firstColumn="0" w:lastColumn="0" w:oddVBand="0" w:evenVBand="0" w:oddHBand="0" w:evenHBand="0" w:firstRowFirstColumn="0" w:firstRowLastColumn="0" w:lastRowFirstColumn="0" w:lastRowLastColumn="0"/>
        </w:trPr>
        <w:tc>
          <w:tcPr>
            <w:tcW w:w="4544" w:type="dxa"/>
            <w:cnfStyle w:val="001000000000" w:firstRow="0" w:lastRow="0" w:firstColumn="1" w:lastColumn="0" w:oddVBand="0" w:evenVBand="0" w:oddHBand="0" w:evenHBand="0" w:firstRowFirstColumn="0" w:firstRowLastColumn="0" w:lastRowFirstColumn="0" w:lastRowLastColumn="0"/>
            <w:tcBorders>
              <w:bottom w:val="single" w:sz="12" w:space="0" w:color="666666"/>
            </w:tcBorders>
          </w:tcPr>
          <w:p>
            <w:pPr>
              <w:pStyle w:val="NoSpacing"/>
              <w:widowControl w:val="false"/>
              <w:suppressAutoHyphens w:val="true"/>
              <w:spacing w:before="120" w:after="120"/>
              <w:rPr>
                <w:lang w:eastAsia="pl-PL"/>
              </w:rPr>
            </w:pPr>
            <w:r>
              <w:rPr>
                <w:rFonts w:eastAsia="Aptos" w:cs=""/>
                <w:b/>
                <w:bCs/>
                <w:kern w:val="2"/>
                <w:sz w:val="22"/>
                <w:szCs w:val="22"/>
                <w:lang w:val="pl-PL" w:eastAsia="pl-PL" w:bidi="ar-SA"/>
              </w:rPr>
            </w:r>
          </w:p>
        </w:tc>
        <w:tc>
          <w:tcPr>
            <w:tcW w:w="801" w:type="dxa"/>
            <w:tcBorders>
              <w:bottom w:val="single" w:sz="12" w:space="0" w:color="666666"/>
            </w:tcBorders>
          </w:tcPr>
          <w:p>
            <w:pPr>
              <w:pStyle w:val="NoSpacing"/>
              <w:widowControl w:val="false"/>
              <w:suppressAutoHyphens w:val="true"/>
              <w:spacing w:before="120" w:after="120"/>
              <w:jc w:val="start"/>
              <w:cnfStyle w:val="100000000000" w:firstRow="1" w:lastRow="0" w:firstColumn="0" w:lastColumn="0" w:oddVBand="0" w:evenVBand="0" w:oddHBand="0" w:evenHBand="0" w:firstRowFirstColumn="0" w:firstRowLastColumn="0" w:lastRowFirstColumn="0" w:lastRowLastColumn="0"/>
              <w:rPr>
                <w:sz w:val="20"/>
                <w:szCs w:val="20"/>
                <w:lang w:eastAsia="pl-PL"/>
              </w:rPr>
            </w:pPr>
            <w:r>
              <w:rPr>
                <w:rFonts w:eastAsia="Aptos" w:cs=""/>
                <w:b/>
                <w:bCs/>
                <w:kern w:val="2"/>
                <w:sz w:val="20"/>
                <w:szCs w:val="20"/>
                <w:lang w:val="pl-PL" w:eastAsia="pl-PL" w:bidi="ar-SA"/>
              </w:rPr>
              <w:t>Budżet gminy</w:t>
            </w:r>
          </w:p>
        </w:tc>
        <w:tc>
          <w:tcPr>
            <w:tcW w:w="802" w:type="dxa"/>
            <w:tcBorders>
              <w:bottom w:val="single" w:sz="12" w:space="0" w:color="666666"/>
            </w:tcBorders>
          </w:tcPr>
          <w:p>
            <w:pPr>
              <w:pStyle w:val="NoSpacing"/>
              <w:widowControl w:val="false"/>
              <w:suppressAutoHyphens w:val="true"/>
              <w:spacing w:before="120" w:after="120"/>
              <w:jc w:val="start"/>
              <w:cnfStyle w:val="100000000000" w:firstRow="1" w:lastRow="0" w:firstColumn="0" w:lastColumn="0" w:oddVBand="0" w:evenVBand="0" w:oddHBand="0" w:evenHBand="0" w:firstRowFirstColumn="0" w:firstRowLastColumn="0" w:lastRowFirstColumn="0" w:lastRowLastColumn="0"/>
              <w:rPr>
                <w:sz w:val="20"/>
                <w:szCs w:val="20"/>
                <w:lang w:eastAsia="pl-PL"/>
              </w:rPr>
            </w:pPr>
            <w:r>
              <w:rPr>
                <w:rFonts w:eastAsia="Aptos" w:cs=""/>
                <w:b/>
                <w:bCs/>
                <w:kern w:val="2"/>
                <w:sz w:val="20"/>
                <w:szCs w:val="20"/>
                <w:lang w:val="pl-PL" w:eastAsia="pl-PL" w:bidi="ar-SA"/>
              </w:rPr>
              <w:t xml:space="preserve">Środki UE </w:t>
              <w:br/>
              <w:t>i inne zagraniczne</w:t>
            </w:r>
          </w:p>
        </w:tc>
        <w:tc>
          <w:tcPr>
            <w:tcW w:w="800" w:type="dxa"/>
            <w:tcBorders>
              <w:bottom w:val="single" w:sz="12" w:space="0" w:color="666666"/>
            </w:tcBorders>
          </w:tcPr>
          <w:p>
            <w:pPr>
              <w:pStyle w:val="NoSpacing"/>
              <w:widowControl w:val="false"/>
              <w:suppressAutoHyphens w:val="true"/>
              <w:spacing w:before="120" w:after="120"/>
              <w:jc w:val="start"/>
              <w:cnfStyle w:val="100000000000" w:firstRow="1" w:lastRow="0" w:firstColumn="0" w:lastColumn="0" w:oddVBand="0" w:evenVBand="0" w:oddHBand="0" w:evenHBand="0" w:firstRowFirstColumn="0" w:firstRowLastColumn="0" w:lastRowFirstColumn="0" w:lastRowLastColumn="0"/>
              <w:rPr>
                <w:sz w:val="20"/>
                <w:szCs w:val="20"/>
                <w:lang w:eastAsia="pl-PL"/>
              </w:rPr>
            </w:pPr>
            <w:r>
              <w:rPr>
                <w:rFonts w:eastAsia="Aptos" w:cs=""/>
                <w:b/>
                <w:bCs/>
                <w:kern w:val="2"/>
                <w:sz w:val="20"/>
                <w:szCs w:val="20"/>
                <w:lang w:val="pl-PL" w:eastAsia="pl-PL" w:bidi="ar-SA"/>
              </w:rPr>
              <w:t>Środki krajowe</w:t>
            </w:r>
          </w:p>
        </w:tc>
        <w:tc>
          <w:tcPr>
            <w:tcW w:w="802" w:type="dxa"/>
            <w:tcBorders>
              <w:bottom w:val="single" w:sz="12" w:space="0" w:color="666666"/>
            </w:tcBorders>
          </w:tcPr>
          <w:p>
            <w:pPr>
              <w:pStyle w:val="NoSpacing"/>
              <w:widowControl w:val="false"/>
              <w:suppressAutoHyphens w:val="true"/>
              <w:spacing w:before="120" w:after="120"/>
              <w:jc w:val="start"/>
              <w:cnfStyle w:val="100000000000" w:firstRow="1" w:lastRow="0" w:firstColumn="0" w:lastColumn="0" w:oddVBand="0" w:evenVBand="0" w:oddHBand="0" w:evenHBand="0" w:firstRowFirstColumn="0" w:firstRowLastColumn="0" w:lastRowFirstColumn="0" w:lastRowLastColumn="0"/>
              <w:rPr>
                <w:sz w:val="20"/>
                <w:szCs w:val="20"/>
                <w:lang w:eastAsia="pl-PL"/>
              </w:rPr>
            </w:pPr>
            <w:r>
              <w:rPr>
                <w:rFonts w:eastAsia="Aptos" w:cs=""/>
                <w:b/>
                <w:bCs/>
                <w:kern w:val="2"/>
                <w:sz w:val="20"/>
                <w:szCs w:val="20"/>
                <w:lang w:val="pl-PL" w:eastAsia="pl-PL" w:bidi="ar-SA"/>
              </w:rPr>
              <w:t>Środki zwrotne</w:t>
            </w:r>
          </w:p>
        </w:tc>
        <w:tc>
          <w:tcPr>
            <w:tcW w:w="800" w:type="dxa"/>
            <w:tcBorders>
              <w:bottom w:val="single" w:sz="12" w:space="0" w:color="666666"/>
            </w:tcBorders>
          </w:tcPr>
          <w:p>
            <w:pPr>
              <w:pStyle w:val="NoSpacing"/>
              <w:widowControl w:val="false"/>
              <w:suppressAutoHyphens w:val="true"/>
              <w:spacing w:before="120" w:after="120"/>
              <w:jc w:val="start"/>
              <w:cnfStyle w:val="100000000000" w:firstRow="1" w:lastRow="0" w:firstColumn="0" w:lastColumn="0" w:oddVBand="0" w:evenVBand="0" w:oddHBand="0" w:evenHBand="0" w:firstRowFirstColumn="0" w:firstRowLastColumn="0" w:lastRowFirstColumn="0" w:lastRowLastColumn="0"/>
              <w:rPr>
                <w:sz w:val="20"/>
                <w:szCs w:val="20"/>
                <w:lang w:eastAsia="pl-PL"/>
              </w:rPr>
            </w:pPr>
            <w:r>
              <w:rPr>
                <w:rFonts w:eastAsia="Aptos" w:cs=""/>
                <w:b/>
                <w:bCs/>
                <w:kern w:val="2"/>
                <w:sz w:val="20"/>
                <w:szCs w:val="20"/>
                <w:lang w:val="pl-PL" w:eastAsia="pl-PL" w:bidi="ar-SA"/>
              </w:rPr>
              <w:t>Środki prywatne</w:t>
            </w:r>
          </w:p>
        </w:tc>
        <w:tc>
          <w:tcPr>
            <w:tcW w:w="801" w:type="dxa"/>
            <w:tcBorders>
              <w:bottom w:val="single" w:sz="12" w:space="0" w:color="666666"/>
            </w:tcBorders>
          </w:tcPr>
          <w:p>
            <w:pPr>
              <w:pStyle w:val="NoSpacing"/>
              <w:widowControl w:val="false"/>
              <w:suppressAutoHyphens w:val="true"/>
              <w:spacing w:before="120" w:after="120"/>
              <w:jc w:val="start"/>
              <w:cnfStyle w:val="100000000000" w:firstRow="1" w:lastRow="0" w:firstColumn="0" w:lastColumn="0" w:oddVBand="0" w:evenVBand="0" w:oddHBand="0" w:evenHBand="0" w:firstRowFirstColumn="0" w:firstRowLastColumn="0" w:lastRowFirstColumn="0" w:lastRowLastColumn="0"/>
              <w:rPr>
                <w:sz w:val="20"/>
                <w:szCs w:val="20"/>
                <w:lang w:eastAsia="pl-PL"/>
              </w:rPr>
            </w:pPr>
            <w:r>
              <w:rPr>
                <w:rFonts w:eastAsia="Aptos" w:cs=""/>
                <w:b/>
                <w:bCs/>
                <w:kern w:val="2"/>
                <w:sz w:val="20"/>
                <w:szCs w:val="20"/>
                <w:lang w:val="pl-PL" w:eastAsia="pl-PL" w:bidi="ar-SA"/>
              </w:rPr>
              <w:t>Wartość ogółem</w:t>
            </w:r>
          </w:p>
        </w:tc>
      </w:tr>
      <w:tr>
        <w:trPr>
          <w:trHeight w:val="510" w:hRule="atLeast"/>
        </w:trPr>
        <w:tc>
          <w:tcPr>
            <w:tcW w:w="4544" w:type="dxa"/>
            <w:cnfStyle w:val="001000000000" w:firstRow="0" w:lastRow="0" w:firstColumn="1" w:lastColumn="0" w:oddVBand="0" w:evenVBand="0" w:oddHBand="0" w:evenHBand="0" w:firstRowFirstColumn="0" w:firstRowLastColumn="0" w:lastRowFirstColumn="0" w:lastRowLastColumn="0"/>
            <w:tcBorders/>
          </w:tcPr>
          <w:p>
            <w:pPr>
              <w:pStyle w:val="NoSpacing"/>
              <w:widowControl w:val="false"/>
              <w:suppressAutoHyphens w:val="true"/>
              <w:spacing w:before="120" w:after="120"/>
              <w:jc w:val="start"/>
              <w:rPr>
                <w:b w:val="false"/>
                <w:bCs w:val="false"/>
                <w:sz w:val="20"/>
                <w:szCs w:val="20"/>
                <w:lang w:eastAsia="pl-PL"/>
              </w:rPr>
            </w:pPr>
            <w:r>
              <w:rPr>
                <w:rFonts w:eastAsia="Aptos" w:cs=""/>
                <w:b/>
                <w:bCs/>
                <w:kern w:val="2"/>
                <w:sz w:val="20"/>
                <w:szCs w:val="20"/>
                <w:lang w:val="pl-PL" w:eastAsia="pl-PL" w:bidi="ar-SA"/>
              </w:rPr>
              <w:t>Szacowane środki na realizację podstawowych przedsięwzięć rewitalizacyjnych (zł)</w:t>
            </w:r>
          </w:p>
        </w:tc>
        <w:tc>
          <w:tcPr>
            <w:tcW w:w="801"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sz w:val="18"/>
                <w:szCs w:val="18"/>
                <w:lang w:eastAsia="pl-PL"/>
              </w:rPr>
            </w:pPr>
            <w:r>
              <w:rPr>
                <w:rFonts w:eastAsia="Aptos" w:cs=""/>
                <w:kern w:val="2"/>
                <w:sz w:val="18"/>
                <w:szCs w:val="18"/>
                <w:lang w:val="pl-PL" w:eastAsia="pl-PL" w:bidi="ar-SA"/>
              </w:rPr>
              <w:t>31 895 829 zł</w:t>
            </w:r>
          </w:p>
        </w:tc>
        <w:tc>
          <w:tcPr>
            <w:tcW w:w="802"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sz w:val="18"/>
                <w:szCs w:val="18"/>
                <w:lang w:eastAsia="pl-PL"/>
              </w:rPr>
            </w:pPr>
            <w:r>
              <w:rPr>
                <w:rFonts w:eastAsia="Aptos" w:cs=""/>
                <w:kern w:val="2"/>
                <w:sz w:val="18"/>
                <w:szCs w:val="18"/>
                <w:lang w:val="pl-PL" w:eastAsia="pl-PL" w:bidi="ar-SA"/>
              </w:rPr>
              <w:t>23 515 719 zł</w:t>
            </w:r>
          </w:p>
        </w:tc>
        <w:tc>
          <w:tcPr>
            <w:tcW w:w="800"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sz w:val="18"/>
                <w:szCs w:val="18"/>
                <w:lang w:eastAsia="pl-PL"/>
              </w:rPr>
            </w:pPr>
            <w:r>
              <w:rPr>
                <w:rFonts w:eastAsia="Aptos" w:cs=""/>
                <w:kern w:val="2"/>
                <w:sz w:val="18"/>
                <w:szCs w:val="18"/>
                <w:lang w:val="pl-PL" w:eastAsia="pl-PL" w:bidi="ar-SA"/>
              </w:rPr>
              <w:t>15 440 000 zł</w:t>
            </w:r>
          </w:p>
        </w:tc>
        <w:tc>
          <w:tcPr>
            <w:tcW w:w="802"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sz w:val="18"/>
                <w:szCs w:val="18"/>
                <w:lang w:eastAsia="pl-PL"/>
              </w:rPr>
            </w:pPr>
            <w:r>
              <w:rPr>
                <w:rFonts w:eastAsia="Aptos" w:cs=""/>
                <w:kern w:val="2"/>
                <w:sz w:val="18"/>
                <w:szCs w:val="18"/>
                <w:lang w:val="pl-PL" w:eastAsia="pl-PL" w:bidi="ar-SA"/>
              </w:rPr>
              <w:t>2 000 000 zł</w:t>
            </w:r>
          </w:p>
        </w:tc>
        <w:tc>
          <w:tcPr>
            <w:tcW w:w="800"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sz w:val="18"/>
                <w:szCs w:val="18"/>
                <w:lang w:eastAsia="pl-PL"/>
              </w:rPr>
            </w:pPr>
            <w:r>
              <w:rPr>
                <w:rFonts w:eastAsia="Aptos" w:cs=""/>
                <w:kern w:val="2"/>
                <w:sz w:val="18"/>
                <w:szCs w:val="18"/>
                <w:lang w:val="pl-PL" w:eastAsia="pl-PL" w:bidi="ar-SA"/>
              </w:rPr>
              <w:t>4 000 000 zł</w:t>
            </w:r>
          </w:p>
        </w:tc>
        <w:tc>
          <w:tcPr>
            <w:tcW w:w="801"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sz w:val="18"/>
                <w:szCs w:val="18"/>
                <w:lang w:eastAsia="pl-PL"/>
              </w:rPr>
            </w:pPr>
            <w:r>
              <w:rPr>
                <w:rFonts w:eastAsia="Aptos" w:cs=""/>
                <w:kern w:val="2"/>
                <w:sz w:val="18"/>
                <w:szCs w:val="18"/>
                <w:lang w:val="pl-PL" w:eastAsia="pl-PL" w:bidi="ar-SA"/>
              </w:rPr>
              <w:t>76 851 548 zł</w:t>
            </w:r>
          </w:p>
        </w:tc>
      </w:tr>
    </w:tbl>
    <w:p>
      <w:pPr>
        <w:pStyle w:val="Heading2"/>
        <w:rPr/>
      </w:pPr>
      <w:r>
        <w:rPr/>
      </w:r>
    </w:p>
    <w:p>
      <w:pPr>
        <w:pStyle w:val="Heading2"/>
        <w:rPr/>
      </w:pPr>
      <w:bookmarkStart w:id="69" w:name="_Toc216991178"/>
      <w:r>
        <w:rPr/>
        <w:t>8.2. Potencjalne źródła finansowania programu</w:t>
      </w:r>
      <w:bookmarkEnd w:id="69"/>
    </w:p>
    <w:p>
      <w:pPr>
        <w:pStyle w:val="Normal"/>
        <w:rPr/>
      </w:pPr>
      <w:r>
        <w:rPr/>
        <w:t xml:space="preserve">Zapewnienie kompleksowego podejścia do procesu rewitalizacji wiąże się z koniecznością oparcia realizacji GPR na komplementarności źródeł finansowania. Polega ona na łączeniu środków własnych gminy oraz innych interesariuszy (w tym prywatnych) ze środkami zewnętrznymi (dotacyjnymi lub pożyczkowymi na preferencyjnych warunkach) – europejskimi (w ramach różnych funduszy) i krajowymi. W tym celu w </w:t>
      </w:r>
      <w:r>
        <w:rPr>
          <w:i/>
          <w:iCs/>
        </w:rPr>
        <w:t>Programie</w:t>
      </w:r>
      <w:r>
        <w:rPr/>
        <w:t xml:space="preserve"> ramowo określono potencjalne, możliwe do wykorzystania źródła finansowania przedsięwzięć rewitalizacyjnych. </w:t>
      </w:r>
    </w:p>
    <w:p>
      <w:pPr>
        <w:pStyle w:val="Normal"/>
        <w:rPr/>
      </w:pPr>
      <w:r>
        <w:rPr/>
        <w:t xml:space="preserve">Należy przyjąć, że w okresie wdrażania GPR (tj. do 2035 roku) pojawią się nowe źródła finansowania przedsięwzięć rewitalizacyjnych, a dostępne obecnie źródła finansowania wygasną, natomiast zasady pozyskiwania jeszcze innych zostaną zmienione. Oznacza to konieczność stałego śledzenia i pozyskiwania dostępnych źródeł dla konkretnych przedsięwzięć rewitalizacyjnych. </w:t>
      </w:r>
    </w:p>
    <w:p>
      <w:pPr>
        <w:pStyle w:val="Normal"/>
        <w:rPr/>
      </w:pPr>
      <w:r>
        <w:rPr/>
        <w:t>Z kolei w przypadkach braku uzyskania pierwotnie planowanego dofinansowania danego przedsięwzięcia z określonego źródła, powinny być podejmowane próby wykorzystania innych źródeł lub wspieranie procesów środkami własnymi gminy.</w:t>
      </w:r>
    </w:p>
    <w:p>
      <w:pPr>
        <w:pStyle w:val="Heading3"/>
        <w:rPr/>
      </w:pPr>
      <w:bookmarkStart w:id="70" w:name="_Toc216991179"/>
      <w:r>
        <w:rPr/>
        <w:t>8.2.1. Środki europejskie</w:t>
      </w:r>
      <w:bookmarkEnd w:id="70"/>
    </w:p>
    <w:p>
      <w:pPr>
        <w:pStyle w:val="Heading4"/>
        <w:rPr/>
      </w:pPr>
      <w:r>
        <w:rPr/>
        <w:t>Fundusze Europejskie dla Lubuskiego 2021-2027</w:t>
      </w:r>
    </w:p>
    <w:p>
      <w:pPr>
        <w:pStyle w:val="Normal"/>
        <w:rPr/>
      </w:pPr>
      <w:r>
        <w:rPr/>
        <w:t xml:space="preserve">Najistotniejszym źródłem potencjalnego zewnętrznego wsparcia przedsięwzięć rewitalizacyjnych będzie program </w:t>
      </w:r>
      <w:r>
        <w:rPr>
          <w:i/>
          <w:iCs/>
        </w:rPr>
        <w:t>Fundusze Europejskie dla Lubuskiego 2021-2027</w:t>
      </w:r>
      <w:r>
        <w:rPr/>
        <w:t xml:space="preserve"> (FELB). FELB obejmuje wsparcie województwa lubuskiego w ramach wszystkich pięciu tzw. celów polityki spójności 2021-2027 (CP). FELB wskazuje rewitalizację gmin wśród głównych instrumentów terytorialnych w regionie. </w:t>
      </w:r>
    </w:p>
    <w:p>
      <w:pPr>
        <w:pStyle w:val="Normal"/>
        <w:rPr/>
      </w:pPr>
      <w:r>
        <w:rPr/>
        <w:t xml:space="preserve">W ramach celu CP 5. – „Europa bliższa obywatelom dzięki wspieraniu zrównoważonego i zintegrowanego rozwoju wszystkich rodzajów terytoriów oraz inicjatyw lokalnych”, FELB przewiduje wsparcie rewitalizacji m.in. w celu szczegółowym 5(i) („wspieranie zintegrowanego i sprzyjającego włączeniu społecznemu rozwoju społecznego, gospodarczego i środowiskowego, kultury, dziedzictwa naturalnego, zrównoważonej turystyki i bezpieczeństwa na obszarach miejskich”), w ramach którego interwencja będzie kierowana do miast, również tych będących częścią gmin miejsko-wiejskich, a także w celu szczegółowym 5(ii) („wspieranie zintegrowanego i sprzyjającego włączeniu społecznemu rozwoju społecznego, gospodarczego i środowiskowego, na poziomie lokalnym, kultury, dziedzictwa naturalnego, zrównoważonej turystyki i bezpieczeństwa na obszarach innych niż miejskie”), w ramach którego interwencja będzie kierowana do obszarów wiejskich. Możliwe jest zatem kierowanie interwencji zarówno na część obszaru rewitalizacji w Nowym Miasteczku, jak i część obszaru rewitalizacji w Niecieczy. </w:t>
      </w:r>
    </w:p>
    <w:p>
      <w:pPr>
        <w:pStyle w:val="Normal"/>
        <w:rPr/>
      </w:pPr>
      <w:r>
        <w:rPr/>
        <w:t>Należy zwrócić uwagę, że środki FELB, które mogą być użyte przy realizacji GPR, to nie tylko środki przeznaczone wprost na rewitalizację, ale także środki w ramach innych celów polityki spójności, które będą potencjalnie mogły wesprzeć realizację poszczególnych przedsięwzięć określonych w GPR.</w:t>
      </w:r>
    </w:p>
    <w:p>
      <w:pPr>
        <w:pStyle w:val="Heading4"/>
        <w:rPr/>
      </w:pPr>
      <w:r>
        <w:rPr/>
        <w:t>Fundusze Europejskie na Infrastrukturę Klimat Środowisko 2021-2027</w:t>
      </w:r>
    </w:p>
    <w:p>
      <w:pPr>
        <w:pStyle w:val="Normal"/>
        <w:rPr/>
      </w:pPr>
      <w:r>
        <w:rPr/>
        <w:t>Fundusze Europejskie na Infrastrukturę, Klimat, Środowisko (FEnIKS) to krajowy program zapewniający środki Funduszy Europejskich na duże projekty dotyczące m.in. bezpieczeństwa energetycznego, rozwoju odnawialnych źródeł energii, ochrony środowiska, zrównoważonego transportu, ochrony zdrowia, a także rozwoju kultury i ochrony dziedzictwa kulturowego.</w:t>
      </w:r>
    </w:p>
    <w:p>
      <w:pPr>
        <w:pStyle w:val="Heading4"/>
        <w:rPr/>
      </w:pPr>
      <w:r>
        <w:rPr/>
        <w:t xml:space="preserve">Fundusze Europejskie dla Nowoczesnej Gospodarki </w:t>
      </w:r>
    </w:p>
    <w:p>
      <w:pPr>
        <w:pStyle w:val="Normal"/>
        <w:rPr/>
      </w:pPr>
      <w:r>
        <w:rPr/>
        <w:t>Fundusze Europejskie dla Nowoczesnej Gospodarki (FENG) to krajowy program zapewniający środki Funduszy Europejskich na duże projekty dotyczące m.in. badań i rozwoju oraz na innowacje i zwiększanie konkurencyjności gospodarki.</w:t>
      </w:r>
    </w:p>
    <w:p>
      <w:pPr>
        <w:pStyle w:val="Heading4"/>
        <w:rPr/>
      </w:pPr>
      <w:r>
        <w:rPr/>
        <w:t>Fundusze Europejskie dla Rozwoju Społecznego</w:t>
      </w:r>
    </w:p>
    <w:p>
      <w:pPr>
        <w:pStyle w:val="Normal"/>
        <w:rPr/>
      </w:pPr>
      <w:r>
        <w:rPr/>
        <w:t>Fundusze Europejskie dla Rozwoju Społecznego (FERS) to krajowy program zapewniający środki Funduszy Europejskich na szeroko pojęty rozwój społeczny. W ramach FERS środki unijne wspierają m.in. poprawianie sytuacji osób na zmieniającym się rynku pracy, rozwój edukacji i rozwój usług zdrowotnych, a także zapewniają wsparcie rodziców w opiece nad dziećmi i wsparcie osób ze szczególnymi potrzebami.</w:t>
      </w:r>
    </w:p>
    <w:p>
      <w:pPr>
        <w:pStyle w:val="Heading4"/>
        <w:rPr/>
      </w:pPr>
      <w:r>
        <w:rPr/>
        <w:t>Fundusze Europejskie na Rozwój Cyfrowy 2021-2027</w:t>
      </w:r>
    </w:p>
    <w:p>
      <w:pPr>
        <w:pStyle w:val="Normal"/>
        <w:rPr/>
      </w:pPr>
      <w:r>
        <w:rPr/>
        <w:t>Fundusze Europejskie na Rozwój Cyfrowy (FERC) to krajowy program dotyczący cyfryzacji różnych sfer rozwoju. Wsparcie FERC obejmuje m.in.: zwiększanie dostępu do ultraszybkiego Internetu szerokopasmowego, rozwój e-usług, poprawę cyberbezpieczeństwa oraz podnoszenie kompetencji cyfrowych społeczeństwa.</w:t>
      </w:r>
    </w:p>
    <w:p>
      <w:pPr>
        <w:pStyle w:val="Heading4"/>
        <w:rPr/>
      </w:pPr>
      <w:r>
        <w:rPr/>
        <w:t>Fundusze Europejskie na lata 2028–2034</w:t>
      </w:r>
    </w:p>
    <w:p>
      <w:pPr>
        <w:pStyle w:val="Normal"/>
        <w:rPr/>
      </w:pPr>
      <w:r>
        <w:rPr/>
        <w:t>W czasie opracowania GPR, trwały początkowe prace Komisji Europejskiej i polskiego rządu nad środkami, celami unijnej Polityki Spójności.  W lipcu 2025 r. Komisja Europejska przedstawiła projekt kolejnego długoterminowego budżetu UE na lata 2028–2034, czyli tak zwanych wieloletnich ram finansowych (WRF). Budżet na siedem lat, opiewający na ok. 2 biliony euro (dla wszystkich krajów UE), ma na celu wzmocnienie suwerenności, pobudzenie konkurencyjności i zwiększenie odporności Europy. Nowy usprawniony budżet UE posłużyć ma modernizacji inwestycji i umożliwiać bardziej strategiczne dopasowanie priorytetów krajowych i unijnych. Należy założyć ze w ramach tych środków będzie szereg możliwości finansowania różnych przedsięwzięć rewitalizacyjnych w ramach niniejszego GPR.</w:t>
      </w:r>
    </w:p>
    <w:p>
      <w:pPr>
        <w:pStyle w:val="Heading4"/>
        <w:rPr/>
      </w:pPr>
      <w:r>
        <w:rPr/>
        <w:t xml:space="preserve">Fundusze transgraniczne, w szczególności Program Współpracy Interreg VI A Brandenburgia-Polska 2021-2027 </w:t>
      </w:r>
    </w:p>
    <w:p>
      <w:pPr>
        <w:pStyle w:val="Normal"/>
        <w:rPr/>
      </w:pPr>
      <w:r>
        <w:rPr>
          <w:i/>
          <w:iCs/>
        </w:rPr>
        <w:t>Interreg VI A Brandenburgia – Polska 2021–2027</w:t>
      </w:r>
      <w:r>
        <w:rPr/>
        <w:t xml:space="preserve"> to program współpracy mający na celu wspieranie projektów na pograniczu brandenbursko-polskim, obejmujący swym zakresem terytorialnym gminy z województwa lubuskiego. Jest on współfinansowany ze środków Europejskiego Funduszu Rozwoju Regionalnego. Obszary wsparcia programu to transfer wiedzy i technologii, zmiany klimatu i różnorodność biologiczna, edukacja, kultura i turystyka oraz współpraca mieszkańców i instytucji.</w:t>
      </w:r>
    </w:p>
    <w:p>
      <w:pPr>
        <w:pStyle w:val="Heading3"/>
        <w:rPr/>
      </w:pPr>
      <w:bookmarkStart w:id="71" w:name="_Toc216991180"/>
      <w:r>
        <w:rPr/>
        <w:t>8.2.2. Inne potencjalne zewnętrzne źródła finansowania</w:t>
      </w:r>
      <w:bookmarkEnd w:id="71"/>
    </w:p>
    <w:p>
      <w:pPr>
        <w:pStyle w:val="Heading4"/>
        <w:rPr/>
      </w:pPr>
      <w:r>
        <w:rPr/>
        <w:t>Fundusze norweskie i EOG</w:t>
      </w:r>
    </w:p>
    <w:p>
      <w:pPr>
        <w:pStyle w:val="Normal"/>
        <w:spacing w:before="160" w:after="160"/>
        <w:rPr/>
      </w:pPr>
      <w:r>
        <w:rPr/>
        <w:t>Głównym celem funduszy jest przyczynianie się do zmniejszania różnic ekonomicznych i społecznych w obrębie EOG oraz wzmacnianie stosunków dwustronnych oraz współpracy merytorycznej pomiędzy państwami-darczyńcami oraz państwem-beneficjentem. Szeroki zakres wsparcia jest wzbogacony poprzez możliwość współpracy z partnerami z krajów finansujących, co pozwala na wdrażanie innowacyjnych rozwiązań.</w:t>
      </w:r>
    </w:p>
    <w:p>
      <w:pPr>
        <w:pStyle w:val="Normal"/>
        <w:spacing w:before="160" w:after="160"/>
        <w:rPr/>
      </w:pPr>
      <w:r>
        <w:rPr/>
        <w:t>Należy zakładać, że wdrażanie GPR będzie się odbywać również z wykorzystaniem środków EOG z kolejnych perspektyw finansowych tych funduszy.</w:t>
      </w:r>
    </w:p>
    <w:p>
      <w:pPr>
        <w:pStyle w:val="Heading4"/>
        <w:rPr/>
      </w:pPr>
      <w:r>
        <w:rPr/>
        <w:t>Krajowy Plan Odbudowy i Wzmacniania Odporności</w:t>
      </w:r>
    </w:p>
    <w:p>
      <w:pPr>
        <w:pStyle w:val="Normal"/>
        <w:rPr/>
      </w:pPr>
      <w:r>
        <w:rPr/>
        <w:t>Krajowy Plan Odbudowy obejmuje środki Funduszu na rzecz Odbudowy i Zwiększania Odporności, które dedykowane są różnym obszarom tematycznym, między innymi zielonej transformacji miast. Wsparcie będzie kierowane m.in. na wprowadzenie zieleni na terenach miejskich, bardziej efektywne wykorzystanie zasobów oraz przeciwdziałanie utracie różnorodności biologicznej.</w:t>
      </w:r>
    </w:p>
    <w:p>
      <w:pPr>
        <w:pStyle w:val="Heading4"/>
        <w:rPr/>
      </w:pPr>
      <w:r>
        <w:rPr/>
        <w:t>Program Wieloletni Senior Plus</w:t>
      </w:r>
    </w:p>
    <w:p>
      <w:pPr>
        <w:pStyle w:val="Normal"/>
        <w:spacing w:before="160" w:after="160"/>
        <w:rPr/>
      </w:pPr>
      <w:r>
        <w:rPr/>
        <w:t xml:space="preserve">Program na lata 2021-2025, który prowadzony jest przez ministra właściwego do spraw zabezpieczenia społecznego, ma na celu wsparcie warunków do aktywnego starzenia się w środowisku lokalnym oraz jak najdłuższego udziału w życiu społecznym seniorów. Wspiera on działania mające na celu zwiększenie spójności społecznej poprzez wsparcie kierowane do najstarszej części społeczeństwa. Program obejmuje zarówno działania związane z utworzeniem lub wyposażeniem infrastruktury społecznej wspierającej seniorów, jak też stanowi wsparcie dla zapewnienia funkcjonowania już istniejących obiektów. </w:t>
      </w:r>
    </w:p>
    <w:p>
      <w:pPr>
        <w:pStyle w:val="Heading4"/>
        <w:rPr/>
      </w:pPr>
      <w:r>
        <w:rPr/>
        <w:t>Program „Warto być przedsiębiorstwem społecznym!” na lata 2023-2025</w:t>
      </w:r>
    </w:p>
    <w:p>
      <w:pPr>
        <w:pStyle w:val="Normal"/>
        <w:spacing w:before="160" w:after="160"/>
        <w:rPr/>
      </w:pPr>
      <w:r>
        <w:rPr/>
        <w:t>Głównym celem programu jest rozwijanie przedsiębiorczości społecznej przez zapewnienie podmiotom dostępu do wsparcia finansowego ułatwiającego tworzenie miejsc pracy oraz reintegrację społeczną i zawodową osób zagrożonych wykluczeniem społecznym, a także wzmocnienie zdolności do świadczenia usług społecznych.</w:t>
      </w:r>
    </w:p>
    <w:p>
      <w:pPr>
        <w:pStyle w:val="Heading4"/>
        <w:rPr/>
      </w:pPr>
      <w:r>
        <w:rPr/>
        <w:t>Fundusz Rozwoju Kultury Fizycznej</w:t>
      </w:r>
    </w:p>
    <w:p>
      <w:pPr>
        <w:pStyle w:val="Normal"/>
        <w:spacing w:before="160" w:after="160"/>
        <w:rPr/>
      </w:pPr>
      <w:r>
        <w:rPr/>
        <w:t xml:space="preserve">Zgodnie z art. 86 ustawy z dnia 19 listopada 2009 r. o grach hazardowych, minister właściwy do spraw kultury fizycznej jest dysponentem państwowego funduszu celowego pod nazwą Fundusz Rozwoju Kultury Fizycznej. Wydatki w ramach funduszu ponoszone są na przebudowę, remonty i dofinansowanie inwestycji obiektów sportowych, rozwijanie sportu wśród dzieci, młodzieży i osób niepełnosprawnych, rozwój turystyki społecznej sprzyjającej aktywności fizycznej społeczeństwa oraz zadania określone w przepisach o zdrowiu publicznym w zakresie aktywności fizycznej. Zasady wdrażania środków funduszu określone zostały w Rozporządzeniu Ministra Sportu i Turystyki z dnia 12 sierpnia 2019 r. w sprawie przekazywania środków z Funduszu Kultury Fizycznej. </w:t>
      </w:r>
    </w:p>
    <w:p>
      <w:pPr>
        <w:pStyle w:val="Heading4"/>
        <w:rPr/>
      </w:pPr>
      <w:r>
        <w:rPr/>
        <w:t>Solidarnościowy Fundusz Wsparcia Osób Niepełnosprawnych</w:t>
      </w:r>
    </w:p>
    <w:p>
      <w:pPr>
        <w:pStyle w:val="Normal"/>
        <w:spacing w:before="160" w:after="160"/>
        <w:rPr/>
      </w:pPr>
      <w:r>
        <w:rPr/>
        <w:t>Zgodnie z art. 1 ustawy z dnia 23 października 2018 r. o Funduszu Solidarnościowym fundusz, którego dysponentem jest minister właściwy do spraw zabezpieczenia społecznego, jest funduszem celowym obejmującym wsparcie osób niepełnosprawnych oraz emerytów i rencistów. Stosownie do art. 6 oraz art. 7 ust. 1 i ust. 5 ustawy zgromadzone w ramach niniejszego funduszu środki finansowe przeznaczane są na realizację zadań w zakresie wsparcia osób niepełnosprawnych poprzez programy rządowe Rady Ministrów i programy resortowe ministra właściwego do spraw zabezpieczenia społecznego. Jednym z takich programów jest program „Centra opiekuńczo-mieszkalne” realizowany przez Ministra Rodziny, Pracy i Polityki Społecznej.</w:t>
      </w:r>
    </w:p>
    <w:p>
      <w:pPr>
        <w:pStyle w:val="Heading4"/>
        <w:rPr/>
      </w:pPr>
      <w:r>
        <w:rPr/>
        <w:t>Fundusz Dostępności</w:t>
      </w:r>
    </w:p>
    <w:p>
      <w:pPr>
        <w:pStyle w:val="Normal"/>
        <w:spacing w:before="160" w:after="160"/>
        <w:rPr/>
      </w:pPr>
      <w:r>
        <w:rPr/>
        <w:t>Zgodnie z art. 35 ust. 1 ustawy z dnia 19 lipca 2019 r. o zapewnianiu dostępności osobom ze szczególnymi potrzebami Fundusz Dostępności jest funduszem celowym, którego dysponentem jest minister właściwy do spraw rozwoju regionalnego. Celem tego funduszu jest realizacja zadań polegających na wsparciu działań w zakresie zapewniania dostępności osobom ze szczególnymi potrzebami. Realizacja przedsięwzięć polegających na likwidacji barier architektonicznych może być wspierana w ramach funduszu poprzez korzystnie oprocentowane instrumenty zwrotne.</w:t>
      </w:r>
    </w:p>
    <w:p>
      <w:pPr>
        <w:pStyle w:val="Heading4"/>
        <w:rPr/>
      </w:pPr>
      <w:r>
        <w:rPr/>
        <w:t>Narodowy Program Rozwoju Czytelnictwa</w:t>
      </w:r>
    </w:p>
    <w:p>
      <w:pPr>
        <w:pStyle w:val="Normal"/>
        <w:tabs>
          <w:tab w:val="clear" w:pos="708"/>
          <w:tab w:val="left" w:pos="3408" w:leader="none"/>
        </w:tabs>
        <w:spacing w:before="160" w:after="160"/>
        <w:rPr/>
      </w:pPr>
      <w:r>
        <w:rPr/>
        <w:t xml:space="preserve">Zgodnie z art. 90u ust. 4 pkt 6 ustawy z dnia 7 września 1991 r. o systemie oświaty Rada Ministrów realizuje Narodowy Program Rozwoju Czytelnictwa na lata 2026-2030, którego celem jest wzmacnianie roli bibliotek publicznych, szkolnych oraz pedagogicznych jako lokalnych ośrodków życia społecznego, które stanowią centrum dostępu do kultury i wiedzy. Program ten realizowany jest poprzez poprawę oferty bibliotek publicznych oraz inwestycje w ich </w:t>
      </w:r>
      <w:r>
        <w:rPr>
          <w:spacing w:val="-2"/>
        </w:rPr>
        <w:t>infrastrukturę. Obejmuje to w szczególności dostosowanie bazy lokalowej do współczesnych</w:t>
      </w:r>
      <w:r>
        <w:rPr/>
        <w:t xml:space="preserve"> standardów w zakresie obiektów użyteczności publicznej w celu rozwijania kompetencji </w:t>
      </w:r>
      <w:r>
        <w:rPr>
          <w:spacing w:val="-2"/>
        </w:rPr>
        <w:t>społecznych i kulturowych mieszkańców oraz zwiększenie atrakcyjności świadczonych usług.</w:t>
      </w:r>
      <w:r>
        <w:rPr/>
        <w:t xml:space="preserve"> </w:t>
      </w:r>
    </w:p>
    <w:p>
      <w:pPr>
        <w:pStyle w:val="Heading4"/>
        <w:rPr/>
      </w:pPr>
      <w:r>
        <w:rPr/>
        <w:t>Fundusz Termomodernizacji i Remontów</w:t>
      </w:r>
    </w:p>
    <w:p>
      <w:pPr>
        <w:pStyle w:val="Normal"/>
        <w:spacing w:before="160" w:after="160"/>
        <w:rPr>
          <w:rFonts w:cs="Segoe UI"/>
          <w:shd w:fill="FFFFFF" w:val="clear"/>
        </w:rPr>
      </w:pPr>
      <w:r>
        <w:rPr>
          <w:rFonts w:cs="Segoe UI"/>
          <w:shd w:fill="FFFFFF" w:val="clear"/>
        </w:rPr>
        <w:t xml:space="preserve">Fundusz Termomodernizacji i Remontów, którego wdrażanie ustanowiła ustawa z dnia 21 listopada 2008 r. o wspieraniu termomodernizacji i remontów oraz o centralnej ewidencji emisyjności budynków, przewiduje udzielanie wsparcia na działania w zakresie termomodernizacji lub przedsięwzięć służących przeciwdziałaniu skutkom luki remontowej. </w:t>
      </w:r>
    </w:p>
    <w:p>
      <w:pPr>
        <w:pStyle w:val="Heading4"/>
        <w:rPr/>
      </w:pPr>
      <w:r>
        <w:rPr/>
        <w:t>Bezzwrotne wsparcie budownictwa z Funduszu Dopłat</w:t>
      </w:r>
    </w:p>
    <w:p>
      <w:pPr>
        <w:pStyle w:val="Normal"/>
        <w:tabs>
          <w:tab w:val="clear" w:pos="708"/>
          <w:tab w:val="left" w:pos="6448" w:leader="none"/>
        </w:tabs>
        <w:spacing w:before="160" w:after="160"/>
        <w:rPr/>
      </w:pPr>
      <w:r>
        <w:rPr/>
        <w:t>Celem rządowego programu bezzwrotnego finansowego wsparcia budownictwa jest zwiększenie zasobu lokali mieszkalnych oraz lokali i pomieszczeń z zakresu pomocy społecznej, służących zaspokajaniu potrzeb osób o niskich i przeciętnych dochodach. Bezzwrotne wsparcie może zostać udzielone na szeroką paletę działań związanych z rozwojem mieszkalnictwa i przeciwdziałania negatywnym zjawiskom społecznym – od utworzenia lub modernizacji lokali mieszkalnych na wynajem o ograniczonym czynszu (w tym lokali w ramach mieszkaniowego zasobu gminy) poprzez tworzenie lub modernizację mieszkań treningowych i wspomaganych po tworzenie/rozbudowę noclegowni czy schronisk dla osób bezdomnych. Wsparcie może też dotyczyć utworzenia lub modernizacji infrastruktury społecznej. </w:t>
      </w:r>
    </w:p>
    <w:p>
      <w:pPr>
        <w:pStyle w:val="Heading4"/>
        <w:rPr/>
      </w:pPr>
      <w:r>
        <w:rPr/>
        <w:t>Program wspierania społecznego budownictwa czynszowego</w:t>
      </w:r>
    </w:p>
    <w:p>
      <w:pPr>
        <w:pStyle w:val="Normal"/>
        <w:tabs>
          <w:tab w:val="clear" w:pos="708"/>
          <w:tab w:val="left" w:pos="6448" w:leader="none"/>
        </w:tabs>
        <w:spacing w:before="160" w:after="160"/>
        <w:rPr/>
      </w:pPr>
      <w:r>
        <w:rPr/>
        <w:t xml:space="preserve">Preferencyjne kredyty dla towarzystw budownictwa społecznego, społecznych inicjatyw mieszkaniowych, spółdzielni mieszkaniowych, </w:t>
      </w:r>
      <w:r>
        <w:rPr>
          <w:rFonts w:cs="Segoe UI"/>
        </w:rPr>
        <w:t xml:space="preserve">spółek gminnych </w:t>
      </w:r>
      <w:r>
        <w:rPr/>
        <w:t>mogą być przeznaczone na realizację inwestycji mieszkaniowych, takich jak tworzenie (poprzez budowę lub remont/adaptację) mieszkań na wynajem z limitowaną ustawowo stawką czynszu lub mieszkań spółdzielczych lokatorskich.</w:t>
      </w:r>
    </w:p>
    <w:p>
      <w:pPr>
        <w:pStyle w:val="Heading4"/>
        <w:rPr/>
      </w:pPr>
      <w:r>
        <w:rPr/>
        <w:t>Program Ministerstwa i Dziedzictwa Narodowego „Ochrona zabytków”</w:t>
      </w:r>
    </w:p>
    <w:p>
      <w:pPr>
        <w:pStyle w:val="Normal"/>
        <w:tabs>
          <w:tab w:val="clear" w:pos="708"/>
          <w:tab w:val="left" w:pos="6448" w:leader="none"/>
        </w:tabs>
        <w:spacing w:before="160" w:after="160"/>
        <w:rPr/>
      </w:pPr>
      <w:r>
        <w:rPr/>
        <w:t>Celem programu jest zachowanie materialnego dziedzictwa kulturowego, realizowane poprzez konserwację i rewaloryzację zabytków nieruchomych i ruchomych oraz ich udostępnianie na cele publiczne. Służyć temu mają dotacje na ten cel udzielane przez ministerstwo, o które ubiegać mogą się podmioty posiadające osobowość prawną, osoby fizyczne, jednostki samorządu terytorialnego lub inne jednostki organizacyjne, będące właścicielem lub posiadaczem zabytku wpisanego do rejestru albo posiadające taki zabytek w trwałym zarządzie. Nabór do programu odbywa się zazwyczaj dwa razy do roku.</w:t>
      </w:r>
    </w:p>
    <w:p>
      <w:pPr>
        <w:pStyle w:val="Heading4"/>
        <w:rPr/>
      </w:pPr>
      <w:r>
        <w:rPr/>
        <w:t>Rządowy Program Odbudowy Zabytków</w:t>
      </w:r>
    </w:p>
    <w:p>
      <w:pPr>
        <w:pStyle w:val="Normal"/>
        <w:tabs>
          <w:tab w:val="clear" w:pos="708"/>
          <w:tab w:val="left" w:pos="6448" w:leader="none"/>
        </w:tabs>
        <w:spacing w:before="160" w:after="160"/>
        <w:rPr/>
      </w:pPr>
      <w:r>
        <w:rPr/>
        <w:t>23 listopada 2022 r. Rada Ministrów ustanowiła Rządowy Program Odbudowy Zabytków, realizowany ze środków Funduszu Przeciwdziałania COVID-19. Jego celem jest ochrona zabytków i opieka nad zabytkami. Dofinansowanie z programu przekazuje się: gminom, powiatom, województwom na realizację zadań inwestycyjnych służących powyższemu celowi. Operatorem programu jest Bank Gospodarstwa Krajowego.</w:t>
      </w:r>
    </w:p>
    <w:p>
      <w:pPr>
        <w:pStyle w:val="Normal"/>
        <w:tabs>
          <w:tab w:val="clear" w:pos="708"/>
          <w:tab w:val="left" w:pos="6448" w:leader="none"/>
        </w:tabs>
        <w:spacing w:before="160" w:after="160"/>
        <w:rPr/>
      </w:pPr>
      <w:r>
        <w:rPr/>
        <w:t>Środki z programu mogą być przeznaczone na finansowanie prac konserwatorskich, restauratorskich i robót budowlanych przy zabytku wpisanym do rejestru zabytków lub znajdującym się w ewidencji zabytków, a także na udzielanie przez wnioskodawcę dotacji, o której mowa w art. 81 ustawy z dnia 23 lipca 2003 r. o ochronie zabytków i opiece nad zabytkami na wykonanie prac konserwatorskich, restauratorskich lub robót budowlanych przy zabytku wpisanym do rejestru zabytków lub znajdującym się w ewidencji zabytków.</w:t>
      </w:r>
    </w:p>
    <w:p>
      <w:pPr>
        <w:pStyle w:val="Heading1"/>
        <w:spacing w:before="0" w:after="80"/>
        <w:rPr/>
      </w:pPr>
      <w:bookmarkStart w:id="72" w:name="_Toc216991181"/>
      <w:r>
        <w:rPr/>
        <w:t>9. STRUKTURA ZARZĄDZANIA PROGRAMEM</w:t>
      </w:r>
      <w:bookmarkEnd w:id="72"/>
    </w:p>
    <w:p>
      <w:pPr>
        <w:pStyle w:val="Normal"/>
        <w:rPr/>
      </w:pPr>
      <w:r>
        <w:rPr/>
      </w:r>
    </w:p>
    <w:p>
      <w:pPr>
        <w:pStyle w:val="Heading2"/>
        <w:rPr/>
      </w:pPr>
      <w:bookmarkStart w:id="73" w:name="_Toc216991182"/>
      <w:r>
        <w:rPr/>
        <w:t>9.1. Opis struktury zarządzania realizacją GPR</w:t>
      </w:r>
      <w:bookmarkEnd w:id="73"/>
    </w:p>
    <w:p>
      <w:pPr>
        <w:pStyle w:val="Normal"/>
        <w:spacing w:before="160" w:after="160"/>
        <w:rPr>
          <w:rFonts w:cs="Times New Roman"/>
        </w:rPr>
      </w:pPr>
      <w:r>
        <w:rPr>
          <w:rFonts w:cs="Times New Roman"/>
        </w:rPr>
        <w:t xml:space="preserve">Stosownie do przepisów ustawy z dnia 9 października 2015 r. o rewitalizacji, opracowanie oraz realizacja i nadzór nad realizacją </w:t>
      </w:r>
      <w:r>
        <w:rPr>
          <w:rFonts w:cs="Times New Roman"/>
          <w:i/>
          <w:iCs/>
        </w:rPr>
        <w:t xml:space="preserve">Gminnego Programu Rewitalizacji </w:t>
      </w:r>
      <w:r>
        <w:rPr>
          <w:i/>
          <w:iCs/>
        </w:rPr>
        <w:t>Gminy Nowe Miasteczko do roku</w:t>
      </w:r>
      <w:r>
        <w:rPr>
          <w:rFonts w:cs="Times New Roman"/>
          <w:i/>
          <w:iCs/>
        </w:rPr>
        <w:t xml:space="preserve"> 2035</w:t>
      </w:r>
      <w:r>
        <w:rPr>
          <w:rFonts w:cs="Times New Roman"/>
        </w:rPr>
        <w:t>, między innymi poprzez prowadzenie oceny aktualności i stopnia realizacji, stanowią odpowiedzialność Burmistrza Gminy i Miasta Nowe Miasteczko.</w:t>
      </w:r>
    </w:p>
    <w:p>
      <w:pPr>
        <w:pStyle w:val="Normal"/>
        <w:rPr>
          <w:rFonts w:cs="Times New Roman"/>
        </w:rPr>
      </w:pPr>
      <w:r>
        <w:rPr>
          <w:rFonts w:cs="Times New Roman"/>
        </w:rPr>
        <w:t xml:space="preserve">Wieloletni horyzont czasowy </w:t>
      </w:r>
      <w:r>
        <w:rPr>
          <w:rFonts w:cs="Times New Roman"/>
          <w:i/>
        </w:rPr>
        <w:t>Programu</w:t>
      </w:r>
      <w:r>
        <w:rPr>
          <w:rFonts w:cs="Times New Roman"/>
        </w:rPr>
        <w:t xml:space="preserve">, jak również szeroki zakres zadań oraz obowiązków o charakterze formalnym, które wynikają z wdrażania przepisów ustawy o rewitalizacji w związku z wyznaczeniem na terenie gminy obszaru zdegradowanego i obszaru rewitalizacji oraz przyjęciem </w:t>
      </w:r>
      <w:r>
        <w:rPr>
          <w:rFonts w:cs="Arial"/>
          <w:iCs/>
        </w:rPr>
        <w:t>programu rewitalizacji</w:t>
      </w:r>
      <w:r>
        <w:rPr>
          <w:rFonts w:cs="Times New Roman"/>
        </w:rPr>
        <w:t xml:space="preserve">, wiążą się z koniecznością powołania Zespołu ds. Rewitalizacji. </w:t>
      </w:r>
    </w:p>
    <w:p>
      <w:pPr>
        <w:pStyle w:val="Normal"/>
        <w:spacing w:before="160" w:after="160"/>
        <w:rPr>
          <w:rFonts w:cs="Times New Roman"/>
        </w:rPr>
      </w:pPr>
      <w:r>
        <w:rPr>
          <w:rFonts w:cs="Times New Roman"/>
        </w:rPr>
        <w:t>Zespół ds. Rewitalizacji będzie zespołem roboczym powołanym przez Burmistrza Gminy i Miasta Nowe Miasteczko. Powierzona zostanie mu realizacja GPR i zadań wynikających z przepisów ustawy o rewitalizacji, w tym w szczególności:</w:t>
      </w:r>
    </w:p>
    <w:p>
      <w:pPr>
        <w:pStyle w:val="ListParagraph"/>
        <w:numPr>
          <w:ilvl w:val="0"/>
          <w:numId w:val="1"/>
        </w:numPr>
        <w:tabs>
          <w:tab w:val="clear" w:pos="708"/>
          <w:tab w:val="left" w:pos="6448" w:leader="none"/>
        </w:tabs>
        <w:spacing w:before="160" w:after="160"/>
        <w:contextualSpacing/>
        <w:rPr/>
      </w:pPr>
      <w:r>
        <w:rPr/>
        <w:t>bieżąca koordynacja realizacji przedsięwzięć rewitalizacyjnych w celu efektywnej alokacji zasobów i osiągania wartości dodanej z synergii różnorodnych projektów,</w:t>
      </w:r>
    </w:p>
    <w:p>
      <w:pPr>
        <w:pStyle w:val="ListParagraph"/>
        <w:numPr>
          <w:ilvl w:val="0"/>
          <w:numId w:val="1"/>
        </w:numPr>
        <w:tabs>
          <w:tab w:val="clear" w:pos="708"/>
          <w:tab w:val="left" w:pos="6448" w:leader="none"/>
        </w:tabs>
        <w:spacing w:before="160" w:after="160"/>
        <w:contextualSpacing/>
        <w:rPr/>
      </w:pPr>
      <w:r>
        <w:rPr/>
        <w:t xml:space="preserve">monitorowanie realizacji przedsięwzięć rewitalizacyjnych wskazanych w </w:t>
      </w:r>
      <w:r>
        <w:rPr>
          <w:i/>
          <w:iCs/>
        </w:rPr>
        <w:t>Programie</w:t>
      </w:r>
      <w:r>
        <w:rPr/>
        <w:t xml:space="preserve"> oraz przygotowywanie rocznych informacji dotyczących postępu realizacji </w:t>
      </w:r>
      <w:r>
        <w:rPr>
          <w:rFonts w:cs="Arial"/>
          <w:i/>
        </w:rPr>
        <w:t>Programu</w:t>
      </w:r>
      <w:r>
        <w:rPr/>
        <w:t xml:space="preserve"> i przedkładanie ich </w:t>
      </w:r>
      <w:r>
        <w:rPr>
          <w:rFonts w:cs="Times New Roman"/>
        </w:rPr>
        <w:t>Burmistrzowi</w:t>
      </w:r>
      <w:r>
        <w:rPr/>
        <w:t>,</w:t>
      </w:r>
    </w:p>
    <w:p>
      <w:pPr>
        <w:pStyle w:val="ListParagraph"/>
        <w:numPr>
          <w:ilvl w:val="0"/>
          <w:numId w:val="1"/>
        </w:numPr>
        <w:tabs>
          <w:tab w:val="clear" w:pos="708"/>
          <w:tab w:val="left" w:pos="6448" w:leader="none"/>
        </w:tabs>
        <w:spacing w:before="160" w:after="160"/>
        <w:contextualSpacing/>
        <w:rPr/>
      </w:pPr>
      <w:r>
        <w:rPr/>
        <w:t xml:space="preserve">ocena sposobu realizacji celów procesu rewitalizacji poprzez przyjęte kierunki działań i wdrażane przedsięwzięcia rewitalizacyjne oraz wzajemna integracja tych przedsięwzięć dla osiągania celów, </w:t>
      </w:r>
    </w:p>
    <w:p>
      <w:pPr>
        <w:pStyle w:val="ListParagraph"/>
        <w:numPr>
          <w:ilvl w:val="0"/>
          <w:numId w:val="1"/>
        </w:numPr>
        <w:tabs>
          <w:tab w:val="clear" w:pos="708"/>
          <w:tab w:val="left" w:pos="6448" w:leader="none"/>
        </w:tabs>
        <w:spacing w:before="160" w:after="160"/>
        <w:contextualSpacing/>
        <w:rPr/>
      </w:pPr>
      <w:r>
        <w:rPr/>
        <w:t xml:space="preserve">zapewnienie komplementarności działań w wyznaczonym obszarze rewitalizacji, </w:t>
      </w:r>
    </w:p>
    <w:p>
      <w:pPr>
        <w:pStyle w:val="ListParagraph"/>
        <w:numPr>
          <w:ilvl w:val="0"/>
          <w:numId w:val="1"/>
        </w:numPr>
        <w:tabs>
          <w:tab w:val="clear" w:pos="708"/>
          <w:tab w:val="left" w:pos="6448" w:leader="none"/>
        </w:tabs>
        <w:spacing w:before="160" w:after="160"/>
        <w:contextualSpacing/>
        <w:rPr/>
      </w:pPr>
      <w:r>
        <w:rPr/>
        <w:t xml:space="preserve">monitorowanie postępów w zakresie wdrażania </w:t>
      </w:r>
      <w:r>
        <w:rPr>
          <w:rFonts w:cs="Arial"/>
          <w:i/>
        </w:rPr>
        <w:t>Programu</w:t>
      </w:r>
      <w:r>
        <w:rPr/>
        <w:t xml:space="preserve"> oraz przygotowanie i przedłożenie </w:t>
      </w:r>
      <w:r>
        <w:rPr>
          <w:rFonts w:cs="Times New Roman"/>
        </w:rPr>
        <w:t>Burmistrzowi</w:t>
      </w:r>
      <w:r>
        <w:rPr/>
        <w:t xml:space="preserve"> oceny aktualności i stopnia realizacji GPR.</w:t>
      </w:r>
    </w:p>
    <w:p>
      <w:pPr>
        <w:pStyle w:val="Normal"/>
        <w:spacing w:before="160" w:after="160"/>
        <w:rPr/>
      </w:pPr>
      <w:r>
        <w:rPr/>
        <w:t xml:space="preserve">W skład Zespołu wchodzić będą przedstawiciele poszczególnych komórek organizacyjnych Urzędu oraz jednostek organizacyjnych, realizujący zadania w zakresie: </w:t>
      </w:r>
    </w:p>
    <w:p>
      <w:pPr>
        <w:pStyle w:val="ListParagraph"/>
        <w:numPr>
          <w:ilvl w:val="0"/>
          <w:numId w:val="1"/>
        </w:numPr>
        <w:tabs>
          <w:tab w:val="clear" w:pos="708"/>
          <w:tab w:val="left" w:pos="6448" w:leader="none"/>
        </w:tabs>
        <w:spacing w:before="160" w:after="160"/>
        <w:contextualSpacing/>
        <w:rPr/>
      </w:pPr>
      <w:r>
        <w:rPr/>
        <w:t>pomocy społecznej,</w:t>
      </w:r>
    </w:p>
    <w:p>
      <w:pPr>
        <w:pStyle w:val="ListParagraph"/>
        <w:numPr>
          <w:ilvl w:val="0"/>
          <w:numId w:val="1"/>
        </w:numPr>
        <w:tabs>
          <w:tab w:val="clear" w:pos="708"/>
          <w:tab w:val="left" w:pos="6448" w:leader="none"/>
        </w:tabs>
        <w:spacing w:before="160" w:after="160"/>
        <w:contextualSpacing/>
        <w:rPr/>
      </w:pPr>
      <w:r>
        <w:rPr/>
        <w:t>rozwoju oferty kulturalnej kierowanej do mieszkańców,</w:t>
      </w:r>
    </w:p>
    <w:p>
      <w:pPr>
        <w:pStyle w:val="ListParagraph"/>
        <w:numPr>
          <w:ilvl w:val="0"/>
          <w:numId w:val="1"/>
        </w:numPr>
        <w:tabs>
          <w:tab w:val="clear" w:pos="708"/>
          <w:tab w:val="left" w:pos="6448" w:leader="none"/>
        </w:tabs>
        <w:spacing w:before="160" w:after="160"/>
        <w:contextualSpacing/>
        <w:rPr/>
      </w:pPr>
      <w:r>
        <w:rPr/>
        <w:t>współpracy z organizacjami pozarządowymi,</w:t>
      </w:r>
    </w:p>
    <w:p>
      <w:pPr>
        <w:pStyle w:val="ListParagraph"/>
        <w:numPr>
          <w:ilvl w:val="0"/>
          <w:numId w:val="1"/>
        </w:numPr>
        <w:tabs>
          <w:tab w:val="clear" w:pos="708"/>
          <w:tab w:val="left" w:pos="6448" w:leader="none"/>
        </w:tabs>
        <w:spacing w:before="160" w:after="160"/>
        <w:contextualSpacing/>
        <w:rPr/>
      </w:pPr>
      <w:r>
        <w:rPr/>
        <w:t>polityki przestrzennej gminy,</w:t>
      </w:r>
    </w:p>
    <w:p>
      <w:pPr>
        <w:pStyle w:val="ListParagraph"/>
        <w:numPr>
          <w:ilvl w:val="0"/>
          <w:numId w:val="1"/>
        </w:numPr>
        <w:tabs>
          <w:tab w:val="clear" w:pos="708"/>
          <w:tab w:val="left" w:pos="6448" w:leader="none"/>
        </w:tabs>
        <w:spacing w:before="160" w:after="160"/>
        <w:contextualSpacing/>
        <w:rPr/>
      </w:pPr>
      <w:r>
        <w:rPr/>
        <w:t xml:space="preserve">prowadzenia działalności gospodarczej na terenie gminy, </w:t>
      </w:r>
    </w:p>
    <w:p>
      <w:pPr>
        <w:pStyle w:val="ListParagraph"/>
        <w:numPr>
          <w:ilvl w:val="0"/>
          <w:numId w:val="1"/>
        </w:numPr>
        <w:tabs>
          <w:tab w:val="clear" w:pos="708"/>
          <w:tab w:val="left" w:pos="6448" w:leader="none"/>
        </w:tabs>
        <w:spacing w:before="160" w:after="160"/>
        <w:contextualSpacing/>
        <w:rPr/>
      </w:pPr>
      <w:r>
        <w:rPr/>
        <w:t xml:space="preserve">przygotowania i realizacji zadań inwestycyjnych gminy, </w:t>
      </w:r>
    </w:p>
    <w:p>
      <w:pPr>
        <w:pStyle w:val="ListParagraph"/>
        <w:numPr>
          <w:ilvl w:val="0"/>
          <w:numId w:val="1"/>
        </w:numPr>
        <w:tabs>
          <w:tab w:val="clear" w:pos="708"/>
          <w:tab w:val="left" w:pos="6448" w:leader="none"/>
        </w:tabs>
        <w:spacing w:before="160" w:after="160"/>
        <w:contextualSpacing/>
        <w:rPr/>
      </w:pPr>
      <w:r>
        <w:rPr/>
        <w:t xml:space="preserve">pozyskiwania środków pozabudżetowych na potrzeby realizacji </w:t>
      </w:r>
      <w:r>
        <w:rPr>
          <w:i/>
          <w:iCs/>
        </w:rPr>
        <w:t>Programu</w:t>
      </w:r>
      <w:r>
        <w:rPr/>
        <w:t>,</w:t>
      </w:r>
    </w:p>
    <w:p>
      <w:pPr>
        <w:pStyle w:val="ListParagraph"/>
        <w:numPr>
          <w:ilvl w:val="0"/>
          <w:numId w:val="1"/>
        </w:numPr>
        <w:tabs>
          <w:tab w:val="clear" w:pos="708"/>
          <w:tab w:val="left" w:pos="6448" w:leader="none"/>
        </w:tabs>
        <w:spacing w:before="160" w:after="160"/>
        <w:contextualSpacing/>
        <w:rPr/>
      </w:pPr>
      <w:r>
        <w:rPr/>
        <w:t>gospodarowania nieruchomościami gminy oraz mieszkaniowym zasobem gminy,</w:t>
      </w:r>
    </w:p>
    <w:p>
      <w:pPr>
        <w:pStyle w:val="ListParagraph"/>
        <w:numPr>
          <w:ilvl w:val="0"/>
          <w:numId w:val="1"/>
        </w:numPr>
        <w:tabs>
          <w:tab w:val="clear" w:pos="708"/>
          <w:tab w:val="left" w:pos="6448" w:leader="none"/>
        </w:tabs>
        <w:spacing w:before="160" w:after="160"/>
        <w:contextualSpacing/>
        <w:rPr/>
      </w:pPr>
      <w:r>
        <w:rPr/>
        <w:t>gospodarki gminnej oraz utrzymania terenów zieleni i przestrzeni publicznej,</w:t>
      </w:r>
    </w:p>
    <w:p>
      <w:pPr>
        <w:pStyle w:val="ListParagraph"/>
        <w:numPr>
          <w:ilvl w:val="0"/>
          <w:numId w:val="1"/>
        </w:numPr>
        <w:tabs>
          <w:tab w:val="clear" w:pos="708"/>
          <w:tab w:val="left" w:pos="6448" w:leader="none"/>
        </w:tabs>
        <w:spacing w:before="160" w:after="160"/>
        <w:contextualSpacing/>
        <w:rPr/>
      </w:pPr>
      <w:r>
        <w:rPr/>
        <w:t>gospodarki finansowej gminy w ramach budżetu oraz planów wieloletnich.</w:t>
      </w:r>
    </w:p>
    <w:p>
      <w:pPr>
        <w:pStyle w:val="Normal"/>
        <w:spacing w:before="160" w:after="160"/>
        <w:rPr/>
      </w:pPr>
      <w:r>
        <w:rPr>
          <w:spacing w:val="-2"/>
        </w:rPr>
        <w:t>Dokładny</w:t>
      </w:r>
      <w:r>
        <w:rPr/>
        <w:t xml:space="preserve"> skład Zespołu oraz szczegółowe zasady jego funkcjonowania i komunikacji zostaną określone Zarządzeniem </w:t>
      </w:r>
      <w:r>
        <w:rPr>
          <w:rFonts w:cs="Times New Roman"/>
        </w:rPr>
        <w:t>Burmistrza Gminy i Miasta Nowe Miasteczko</w:t>
      </w:r>
      <w:r>
        <w:rPr/>
        <w:t xml:space="preserve"> po przyjęciu przez Radę Miejską </w:t>
      </w:r>
      <w:r>
        <w:rPr>
          <w:i/>
          <w:iCs/>
        </w:rPr>
        <w:t>Gminnego Programu Rewitalizacji Gminy Nowe Miasteczko do roku 2035</w:t>
      </w:r>
      <w:r>
        <w:rPr/>
        <w:t>.</w:t>
      </w:r>
    </w:p>
    <w:p>
      <w:pPr>
        <w:pStyle w:val="Normal"/>
        <w:spacing w:before="160" w:after="160"/>
        <w:rPr/>
      </w:pPr>
      <w:r>
        <w:rPr/>
        <w:t>Pracami zespołu kierować będzie wyznaczony przez Burmistrza</w:t>
      </w:r>
      <w:r>
        <w:rPr>
          <w:b/>
          <w:bCs/>
        </w:rPr>
        <w:t xml:space="preserve"> Koordynator Zespołu ds. Rewitalizacji</w:t>
      </w:r>
      <w:r>
        <w:rPr/>
        <w:t>, do którego zadań będzie należało również prowadzenie bieżącej koordynacji i obsługi Zespołu.</w:t>
      </w:r>
      <w:r>
        <w:rPr>
          <w:b/>
          <w:bCs/>
        </w:rPr>
        <w:t xml:space="preserve"> </w:t>
      </w:r>
      <w:r>
        <w:rPr>
          <w:spacing w:val="-2"/>
        </w:rPr>
        <w:t>Koordynator będzie realizować swoje zadania w szczególności</w:t>
      </w:r>
      <w:r>
        <w:rPr/>
        <w:t xml:space="preserve"> poprzez:</w:t>
      </w:r>
      <w:r>
        <w:rPr>
          <w:b/>
          <w:bCs/>
        </w:rPr>
        <w:t xml:space="preserve"> </w:t>
      </w:r>
    </w:p>
    <w:p>
      <w:pPr>
        <w:pStyle w:val="ListParagraph"/>
        <w:numPr>
          <w:ilvl w:val="0"/>
          <w:numId w:val="2"/>
        </w:numPr>
        <w:spacing w:before="160" w:after="160"/>
        <w:contextualSpacing/>
        <w:rPr/>
      </w:pPr>
      <w:r>
        <w:rPr/>
        <w:t xml:space="preserve">bieżącą organizację prac Zespołu ds. Rewitalizacji, </w:t>
      </w:r>
    </w:p>
    <w:p>
      <w:pPr>
        <w:pStyle w:val="ListParagraph"/>
        <w:numPr>
          <w:ilvl w:val="0"/>
          <w:numId w:val="2"/>
        </w:numPr>
        <w:spacing w:before="160" w:after="160"/>
        <w:contextualSpacing/>
        <w:rPr/>
      </w:pPr>
      <w:r>
        <w:rPr/>
        <w:t>zapewnienie spójności realizowanych przedsięwzięć rewitalizacyjnych z celami rewitalizacji oraz odpowiadającymi im kierunkami działań poprzez udział w pracach nad zlecaniem i opracowaniem dokumentacji,</w:t>
      </w:r>
    </w:p>
    <w:p>
      <w:pPr>
        <w:pStyle w:val="ListParagraph"/>
        <w:numPr>
          <w:ilvl w:val="0"/>
          <w:numId w:val="2"/>
        </w:numPr>
        <w:spacing w:before="160" w:after="160"/>
        <w:contextualSpacing/>
        <w:rPr/>
      </w:pPr>
      <w:r>
        <w:rPr/>
        <w:t>bezpośrednią współpracę z interesariuszami, o których mowa w art. 2. ust. 2 ustawy z dnia 9 października 2015 r. o rewitalizacji oraz podmiotami, o których mowa w art. 36 ust. 8 pkt 4 ustawy z dnia 28 kwietnia 2022 r. o zasadach realizacji zadań finansowanych ze środków europejskich w perspektywie finansowej 2021-2027, w tym poprzez wsparcie i zapewnienie ciągłości funkcjonowania Komitetu Rewitalizacji, o którym mowa w art. 7 ust. 1 ustawy o rewitalizacji (w szczególności organizację spotkań, sporządzanie protokołów, obsługę zapytań członków i zgłaszanych tematów, prowadzenie spraw związanych z utrzymaniem pełnego składu),</w:t>
      </w:r>
    </w:p>
    <w:p>
      <w:pPr>
        <w:pStyle w:val="ListParagraph"/>
        <w:numPr>
          <w:ilvl w:val="0"/>
          <w:numId w:val="2"/>
        </w:numPr>
        <w:spacing w:before="160" w:after="160"/>
        <w:contextualSpacing/>
        <w:rPr/>
      </w:pPr>
      <w:r>
        <w:rPr/>
        <w:t xml:space="preserve">prowadzenie działań w zakresie partycypacji społecznej, w tym w zakresie wspierania inicjatyw zmierzających do zwiększania udziału interesariuszy realizacji gminnego programu rewitalizacji oraz zapewnieniu w czasie prowadzenia i oceny rewitalizacji możliwości wypowiedzenia się przez interesariuszy, stosownie do art. 5 ust. 2 i ust. 3 ustawy </w:t>
      </w:r>
      <w:r>
        <w:rPr>
          <w:i/>
          <w:iCs/>
        </w:rPr>
        <w:t xml:space="preserve">o </w:t>
      </w:r>
      <w:r>
        <w:rPr/>
        <w:t>rewitalizacji,</w:t>
      </w:r>
    </w:p>
    <w:p>
      <w:pPr>
        <w:pStyle w:val="ListParagraph"/>
        <w:numPr>
          <w:ilvl w:val="0"/>
          <w:numId w:val="2"/>
        </w:numPr>
        <w:spacing w:before="160" w:after="160"/>
        <w:contextualSpacing/>
        <w:rPr/>
      </w:pPr>
      <w:r>
        <w:rPr/>
        <w:t>koordynację prac nad sporządzaniem projektów raportów podsumowujących stan realizacji gminnego programu rewitalizacji oraz projektów oceny aktualności i stopnia realizacji gminnego programu rewitalizacji, o której mowa w art. 22 ust. 1 ustawy o rewitalizacji,</w:t>
      </w:r>
    </w:p>
    <w:p>
      <w:pPr>
        <w:pStyle w:val="ListParagraph"/>
        <w:numPr>
          <w:ilvl w:val="0"/>
          <w:numId w:val="2"/>
        </w:numPr>
        <w:spacing w:before="160" w:after="160"/>
        <w:contextualSpacing/>
        <w:rPr/>
      </w:pPr>
      <w:r>
        <w:rPr/>
        <w:t>inne zadania związane z wdrażaniem gminnego programu rewitalizacji.</w:t>
      </w:r>
    </w:p>
    <w:p>
      <w:pPr>
        <w:pStyle w:val="Normal"/>
        <w:rPr/>
      </w:pPr>
      <w:r>
        <w:rPr/>
        <w:t>Struktura zarządzania realizacją GPR będzie podlegała koniecznym zmianom, wynikającym z etapu realizacji GPR, zmieniających się zasobów kadrowych i finansowych czy też okoliczności zewnętrznych wpływających na proces rewitalizacji w Nowym Miasteczku.</w:t>
      </w:r>
    </w:p>
    <w:p>
      <w:pPr>
        <w:pStyle w:val="Normal"/>
        <w:rPr/>
      </w:pPr>
      <w:r>
        <w:rPr/>
      </w:r>
    </w:p>
    <w:p>
      <w:pPr>
        <w:pStyle w:val="Heading2"/>
        <w:rPr/>
      </w:pPr>
      <w:bookmarkStart w:id="74" w:name="_Toc216991183"/>
      <w:r>
        <w:rPr/>
        <w:t>9.2. Koszty zarządzania</w:t>
      </w:r>
      <w:bookmarkEnd w:id="74"/>
    </w:p>
    <w:p>
      <w:pPr>
        <w:pStyle w:val="Normal"/>
        <w:spacing w:before="160" w:after="160"/>
        <w:rPr/>
      </w:pPr>
      <w:r>
        <w:rPr/>
        <w:t>Zgodnie z ustawą o rewitalizacji, struktura zarządzania procesem rewitalizacji powinna znaleźć odzwierciedlenie w kosztach tego procesu określonych w gminnym programie rewitalizacji.</w:t>
      </w:r>
    </w:p>
    <w:p>
      <w:pPr>
        <w:pStyle w:val="Normal"/>
        <w:spacing w:before="160" w:after="160"/>
        <w:rPr/>
      </w:pPr>
      <w:r>
        <w:rPr/>
        <w:t xml:space="preserve">Realizacja GPR będzie bazować przede wszystkim na zaangażowaniu i udziale pracowników Urzędu Miejskiego w Nowym Miasteczku i jego jednostek organizacyjnych. Zaangażowani w realizację poszczególnych przedsięwzięć pracownicy będą wykonywać swoje zadania w ramach obowiązków służbowych. Koszt zarządzania </w:t>
      </w:r>
      <w:r>
        <w:rPr>
          <w:i/>
          <w:iCs/>
        </w:rPr>
        <w:t>Gminnym Programem Rewitalizacji Gminy Nowe Miasteczko do roku 2035</w:t>
      </w:r>
      <w:r>
        <w:rPr/>
        <w:t xml:space="preserve"> odnosi się zatem wyłącznie do tych zadań i elementów procesu rewitalizacji, które Gmina Nowe Miasteczko będzie zobowiązana realizować w toku wdrażania GPR w oparciu o jego bezpośrednie postanowienia i wytyczne oraz w oparciu o przepisy ustawy o rewitalizacji.</w:t>
      </w:r>
    </w:p>
    <w:p>
      <w:pPr>
        <w:pStyle w:val="Normal"/>
        <w:spacing w:before="160" w:after="160"/>
        <w:rPr/>
      </w:pPr>
      <w:r>
        <w:rPr/>
        <w:t xml:space="preserve">W okresie realizacji </w:t>
      </w:r>
      <w:r>
        <w:rPr>
          <w:rFonts w:cs="Arial"/>
          <w:i/>
        </w:rPr>
        <w:t>Programu</w:t>
      </w:r>
      <w:r>
        <w:rPr/>
        <w:t xml:space="preserve"> koszty zarządzania jego realizacją zaprezentowane w Tabeli 5 obejmą: </w:t>
      </w:r>
    </w:p>
    <w:p>
      <w:pPr>
        <w:pStyle w:val="ListParagraph"/>
        <w:numPr>
          <w:ilvl w:val="0"/>
          <w:numId w:val="3"/>
        </w:numPr>
        <w:rPr/>
      </w:pPr>
      <w:r>
        <w:rPr/>
        <w:t xml:space="preserve">wsparcie i zapewnienie efektywnej organizacji prac Komitetu Rewitalizacji pełniącego funkcję opiniodawczo-doradczą </w:t>
      </w:r>
      <w:r>
        <w:rPr>
          <w:rFonts w:cs="Times New Roman"/>
        </w:rPr>
        <w:t>Burmistrza Gminy i Miasta Nowe Miasteczko</w:t>
      </w:r>
      <w:r>
        <w:rPr/>
        <w:t>: koszt ponoszony w całym okresie realizacji GPR;</w:t>
      </w:r>
    </w:p>
    <w:p>
      <w:pPr>
        <w:pStyle w:val="ListParagraph"/>
        <w:numPr>
          <w:ilvl w:val="0"/>
          <w:numId w:val="3"/>
        </w:numPr>
        <w:rPr/>
      </w:pPr>
      <w:r>
        <w:rPr/>
        <w:t xml:space="preserve">zapewnienie ciągłości realizacji </w:t>
      </w:r>
      <w:r>
        <w:rPr>
          <w:i/>
          <w:iCs/>
        </w:rPr>
        <w:t>Programu</w:t>
      </w:r>
      <w:r>
        <w:rPr/>
        <w:t xml:space="preserve"> poprzez wyznaczenie pracownika merytorycznego pełniącego obowiązki koordynatora Zespołu ds. rewitalizacji: koszt ponoszony w całym okresie realizacji GPR;</w:t>
      </w:r>
    </w:p>
    <w:p>
      <w:pPr>
        <w:pStyle w:val="ListParagraph"/>
        <w:numPr>
          <w:ilvl w:val="0"/>
          <w:numId w:val="3"/>
        </w:numPr>
        <w:rPr/>
      </w:pPr>
      <w:r>
        <w:rPr/>
        <w:t>organizacja regularnych spotkań Zespołu ds. rewitalizacji: koszt ponoszony w całym okresie realizacji GPR;</w:t>
      </w:r>
    </w:p>
    <w:p>
      <w:pPr>
        <w:pStyle w:val="ListParagraph"/>
        <w:numPr>
          <w:ilvl w:val="0"/>
          <w:numId w:val="3"/>
        </w:numPr>
        <w:rPr/>
      </w:pPr>
      <w:r>
        <w:rPr/>
        <w:t>monitorowanie postępów realizacji GPR oraz przygotowanie oceny aktualności i stopnia realizacji GPR wraz z badaniem społecznym, zgodnie z przyjętym systemem monitorowania i oceny: koszt ponoszony średnio raz na trzy lata.</w:t>
      </w:r>
    </w:p>
    <w:p>
      <w:pPr>
        <w:pStyle w:val="ListParagraph"/>
        <w:rPr/>
      </w:pPr>
      <w:r>
        <w:rPr/>
      </w:r>
    </w:p>
    <w:p>
      <w:pPr>
        <w:pStyle w:val="ListParagraph"/>
        <w:rPr/>
      </w:pPr>
      <w:r>
        <w:rPr/>
      </w:r>
    </w:p>
    <w:p>
      <w:pPr>
        <w:pStyle w:val="ListParagraph"/>
        <w:rPr/>
      </w:pPr>
      <w:r>
        <w:rPr/>
      </w:r>
    </w:p>
    <w:p>
      <w:pPr>
        <w:pStyle w:val="Tabele"/>
        <w:jc w:val="center"/>
        <w:rPr/>
      </w:pPr>
      <w:bookmarkStart w:id="75" w:name="_Toc216991207"/>
      <w:bookmarkStart w:id="76" w:name="_Toc196596438"/>
      <w:bookmarkStart w:id="77" w:name="_Toc212187921"/>
      <w:bookmarkStart w:id="78" w:name="_Toc155206926"/>
      <w:r>
        <w:rPr/>
        <w:t xml:space="preserve">Tabela 5. Koszty zarządzania realizacją </w:t>
      </w:r>
      <w:bookmarkEnd w:id="78"/>
      <w:r>
        <w:rPr/>
        <w:t>GPR</w:t>
      </w:r>
      <w:bookmarkEnd w:id="75"/>
      <w:bookmarkEnd w:id="76"/>
      <w:bookmarkEnd w:id="77"/>
    </w:p>
    <w:tbl>
      <w:tblPr>
        <w:tblStyle w:val="Tabela-Siatka"/>
        <w:tblW w:w="5524" w:type="dxa"/>
        <w:jc w:val="center"/>
        <w:tblInd w:w="0" w:type="dxa"/>
        <w:tblLayout w:type="fixed"/>
        <w:tblCellMar>
          <w:top w:w="0" w:type="dxa"/>
          <w:start w:w="108" w:type="dxa"/>
          <w:bottom w:w="0" w:type="dxa"/>
          <w:end w:w="108" w:type="dxa"/>
        </w:tblCellMar>
        <w:tblLook w:firstRow="1" w:noVBand="1" w:lastRow="0" w:firstColumn="1" w:lastColumn="0" w:noHBand="0" w:val="04a0"/>
      </w:tblPr>
      <w:tblGrid>
        <w:gridCol w:w="1373"/>
        <w:gridCol w:w="4150"/>
      </w:tblGrid>
      <w:tr>
        <w:trPr/>
        <w:tc>
          <w:tcPr>
            <w:tcW w:w="1373"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Rok</w:t>
            </w:r>
          </w:p>
        </w:tc>
        <w:tc>
          <w:tcPr>
            <w:tcW w:w="4150" w:type="dxa"/>
            <w:tcBorders/>
          </w:tcPr>
          <w:p>
            <w:pPr>
              <w:pStyle w:val="NoSpacing"/>
              <w:widowControl w:val="false"/>
              <w:suppressAutoHyphens w:val="true"/>
              <w:spacing w:before="120" w:after="120"/>
              <w:jc w:val="center"/>
              <w:rPr>
                <w:rFonts w:ascii="Aptos" w:hAnsi="Aptos" w:eastAsia="Aptos"/>
              </w:rPr>
            </w:pPr>
            <w:r>
              <w:rPr>
                <w:rFonts w:eastAsia="Aptos" w:cs="" w:ascii="Aptos" w:hAnsi="Aptos"/>
                <w:kern w:val="2"/>
                <w:sz w:val="22"/>
                <w:szCs w:val="22"/>
                <w:lang w:val="pl-PL" w:eastAsia="en-US" w:bidi="ar-SA"/>
              </w:rPr>
              <w:t>Szacowane koszty zarządzania realizacją GPR</w:t>
            </w:r>
          </w:p>
        </w:tc>
      </w:tr>
      <w:tr>
        <w:trPr>
          <w:trHeight w:val="300" w:hRule="atLeast"/>
        </w:trPr>
        <w:tc>
          <w:tcPr>
            <w:tcW w:w="1373"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2026</w:t>
            </w:r>
          </w:p>
        </w:tc>
        <w:tc>
          <w:tcPr>
            <w:tcW w:w="4150"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11 375 zł</w:t>
            </w:r>
          </w:p>
        </w:tc>
      </w:tr>
      <w:tr>
        <w:trPr>
          <w:trHeight w:val="300" w:hRule="atLeast"/>
        </w:trPr>
        <w:tc>
          <w:tcPr>
            <w:tcW w:w="1373"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2027</w:t>
            </w:r>
          </w:p>
        </w:tc>
        <w:tc>
          <w:tcPr>
            <w:tcW w:w="4150"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11 375 zł</w:t>
            </w:r>
          </w:p>
        </w:tc>
      </w:tr>
      <w:tr>
        <w:trPr>
          <w:trHeight w:val="300" w:hRule="atLeast"/>
        </w:trPr>
        <w:tc>
          <w:tcPr>
            <w:tcW w:w="1373"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2028</w:t>
            </w:r>
          </w:p>
        </w:tc>
        <w:tc>
          <w:tcPr>
            <w:tcW w:w="4150"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11 375 zł</w:t>
            </w:r>
          </w:p>
        </w:tc>
      </w:tr>
      <w:tr>
        <w:trPr>
          <w:trHeight w:val="300" w:hRule="atLeast"/>
        </w:trPr>
        <w:tc>
          <w:tcPr>
            <w:tcW w:w="1373"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2029</w:t>
            </w:r>
          </w:p>
        </w:tc>
        <w:tc>
          <w:tcPr>
            <w:tcW w:w="4150"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41 375 zł</w:t>
            </w:r>
          </w:p>
        </w:tc>
      </w:tr>
      <w:tr>
        <w:trPr>
          <w:trHeight w:val="300" w:hRule="atLeast"/>
        </w:trPr>
        <w:tc>
          <w:tcPr>
            <w:tcW w:w="1373"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2030</w:t>
            </w:r>
          </w:p>
        </w:tc>
        <w:tc>
          <w:tcPr>
            <w:tcW w:w="4150"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12 500 zł</w:t>
            </w:r>
          </w:p>
        </w:tc>
      </w:tr>
      <w:tr>
        <w:trPr>
          <w:trHeight w:val="300" w:hRule="atLeast"/>
        </w:trPr>
        <w:tc>
          <w:tcPr>
            <w:tcW w:w="1373"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2031</w:t>
            </w:r>
          </w:p>
        </w:tc>
        <w:tc>
          <w:tcPr>
            <w:tcW w:w="4150"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12 500 zł</w:t>
            </w:r>
          </w:p>
        </w:tc>
      </w:tr>
      <w:tr>
        <w:trPr>
          <w:trHeight w:val="300" w:hRule="atLeast"/>
        </w:trPr>
        <w:tc>
          <w:tcPr>
            <w:tcW w:w="1373"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2032</w:t>
            </w:r>
          </w:p>
        </w:tc>
        <w:tc>
          <w:tcPr>
            <w:tcW w:w="4150"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42 500 zł</w:t>
            </w:r>
          </w:p>
        </w:tc>
      </w:tr>
      <w:tr>
        <w:trPr>
          <w:trHeight w:val="478" w:hRule="atLeast"/>
        </w:trPr>
        <w:tc>
          <w:tcPr>
            <w:tcW w:w="1373"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2033</w:t>
            </w:r>
          </w:p>
        </w:tc>
        <w:tc>
          <w:tcPr>
            <w:tcW w:w="4150"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12 500 zł</w:t>
            </w:r>
          </w:p>
        </w:tc>
      </w:tr>
      <w:tr>
        <w:trPr>
          <w:trHeight w:val="300" w:hRule="atLeast"/>
        </w:trPr>
        <w:tc>
          <w:tcPr>
            <w:tcW w:w="1373"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2034</w:t>
            </w:r>
          </w:p>
        </w:tc>
        <w:tc>
          <w:tcPr>
            <w:tcW w:w="4150"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12 500 zł</w:t>
            </w:r>
          </w:p>
        </w:tc>
      </w:tr>
      <w:tr>
        <w:trPr>
          <w:trHeight w:val="300" w:hRule="atLeast"/>
        </w:trPr>
        <w:tc>
          <w:tcPr>
            <w:tcW w:w="1373"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2035</w:t>
            </w:r>
          </w:p>
        </w:tc>
        <w:tc>
          <w:tcPr>
            <w:tcW w:w="4150" w:type="dxa"/>
            <w:tcBorders/>
          </w:tcPr>
          <w:p>
            <w:pPr>
              <w:pStyle w:val="NoSpacing"/>
              <w:widowControl w:val="false"/>
              <w:suppressAutoHyphens w:val="true"/>
              <w:spacing w:before="120" w:after="120"/>
              <w:jc w:val="center"/>
              <w:rPr>
                <w:lang w:eastAsia="pl-PL"/>
              </w:rPr>
            </w:pPr>
            <w:r>
              <w:rPr>
                <w:rFonts w:eastAsia="Aptos" w:cs=""/>
                <w:kern w:val="2"/>
                <w:sz w:val="22"/>
                <w:szCs w:val="22"/>
                <w:lang w:val="pl-PL" w:eastAsia="pl-PL" w:bidi="ar-SA"/>
              </w:rPr>
              <w:t>42 500 zł</w:t>
            </w:r>
          </w:p>
        </w:tc>
      </w:tr>
      <w:tr>
        <w:trPr>
          <w:trHeight w:val="300" w:hRule="atLeast"/>
        </w:trPr>
        <w:tc>
          <w:tcPr>
            <w:tcW w:w="1373" w:type="dxa"/>
            <w:tcBorders/>
          </w:tcPr>
          <w:p>
            <w:pPr>
              <w:pStyle w:val="NoSpacing"/>
              <w:widowControl w:val="false"/>
              <w:suppressAutoHyphens w:val="true"/>
              <w:spacing w:before="120" w:after="120"/>
              <w:jc w:val="center"/>
              <w:rPr>
                <w:b/>
                <w:bCs/>
                <w:lang w:eastAsia="pl-PL"/>
              </w:rPr>
            </w:pPr>
            <w:r>
              <w:rPr>
                <w:rFonts w:eastAsia="Aptos" w:cs=""/>
                <w:b/>
                <w:bCs/>
                <w:kern w:val="2"/>
                <w:sz w:val="22"/>
                <w:szCs w:val="22"/>
                <w:lang w:val="pl-PL" w:eastAsia="pl-PL" w:bidi="ar-SA"/>
              </w:rPr>
              <w:t>razem</w:t>
            </w:r>
          </w:p>
        </w:tc>
        <w:tc>
          <w:tcPr>
            <w:tcW w:w="4150" w:type="dxa"/>
            <w:tcBorders/>
          </w:tcPr>
          <w:p>
            <w:pPr>
              <w:pStyle w:val="NoSpacing"/>
              <w:widowControl w:val="false"/>
              <w:suppressAutoHyphens w:val="true"/>
              <w:spacing w:before="120" w:after="120"/>
              <w:jc w:val="center"/>
              <w:rPr>
                <w:rFonts w:eastAsia="Times New Roman" w:cs="Calibri"/>
                <w:b/>
                <w:bCs/>
                <w:color w:val="000000"/>
                <w:lang w:eastAsia="pl-PL"/>
              </w:rPr>
            </w:pPr>
            <w:r>
              <w:rPr>
                <w:rStyle w:val="Strong"/>
                <w:rFonts w:eastAsia="Times New Roman" w:cs="Calibri"/>
                <w:color w:val="000000"/>
                <w:kern w:val="2"/>
                <w:sz w:val="22"/>
                <w:szCs w:val="22"/>
                <w:lang w:val="pl-PL" w:eastAsia="pl-PL" w:bidi="ar-SA"/>
              </w:rPr>
              <w:t>210 500 zł</w:t>
            </w:r>
          </w:p>
        </w:tc>
      </w:tr>
    </w:tbl>
    <w:p>
      <w:pPr>
        <w:pStyle w:val="Normal"/>
        <w:rPr/>
      </w:pPr>
      <w:r>
        <w:rPr/>
      </w:r>
    </w:p>
    <w:p>
      <w:pPr>
        <w:pStyle w:val="Normal"/>
        <w:rPr/>
      </w:pPr>
      <w:r>
        <w:rPr/>
      </w:r>
    </w:p>
    <w:p>
      <w:pPr>
        <w:pStyle w:val="Heading2"/>
        <w:rPr/>
      </w:pPr>
      <w:bookmarkStart w:id="79" w:name="_Toc216991184"/>
      <w:r>
        <w:rPr/>
        <w:t>9.3. Ramowy harmonogram realizacji GPR</w:t>
      </w:r>
      <w:bookmarkEnd w:id="79"/>
    </w:p>
    <w:p>
      <w:pPr>
        <w:pStyle w:val="Normal"/>
        <w:spacing w:before="160" w:after="160"/>
        <w:rPr/>
      </w:pPr>
      <w:r>
        <w:rPr/>
        <w:t xml:space="preserve">Perspektywa realizacji </w:t>
      </w:r>
      <w:r>
        <w:rPr>
          <w:i/>
          <w:iCs/>
        </w:rPr>
        <w:t>Gminnego Programu Rewitalizacji Gminy Nowe Miasteczko do roku 2035</w:t>
      </w:r>
      <w:r>
        <w:rPr/>
        <w:t xml:space="preserve"> obejmuje dziesięć lat.</w:t>
      </w:r>
    </w:p>
    <w:p>
      <w:pPr>
        <w:pStyle w:val="Normal"/>
        <w:spacing w:before="160" w:after="160"/>
        <w:rPr/>
      </w:pPr>
      <w:r>
        <w:rPr/>
        <w:t xml:space="preserve">Przyjęty harmonogram realizacji GPR opiera się na najważniejszych etapach i działaniach, które powinny zostać podjęte w toku realizacji </w:t>
      </w:r>
      <w:r>
        <w:rPr>
          <w:i/>
          <w:iCs/>
        </w:rPr>
        <w:t>Programu</w:t>
      </w:r>
      <w:r>
        <w:rPr/>
        <w:t xml:space="preserve"> przy uwzględnieniu, że kluczowym etapem realizacji przedsięwzięć rewitalizacyjnych będzie etap przygotowawczy. Etap ten obejmuje rzetelne opracowanie założeń przedprojektowych uzgadnianych między poszczególnymi interesariuszami rewitalizacji.</w:t>
      </w:r>
    </w:p>
    <w:p>
      <w:pPr>
        <w:pStyle w:val="Normal"/>
        <w:spacing w:before="160" w:after="160"/>
        <w:rPr/>
      </w:pPr>
      <w:r>
        <w:rPr/>
        <w:t xml:space="preserve">Zgodnie z przyjętym systemem monitorowania i oceny, w perspektywie do 2035 roku corocznie opracowany zostanie raport dotyczący stanu realizacji </w:t>
      </w:r>
      <w:r>
        <w:rPr>
          <w:i/>
          <w:iCs/>
        </w:rPr>
        <w:t>Programu</w:t>
      </w:r>
      <w:r>
        <w:rPr/>
        <w:t xml:space="preserve">. Ponadto, co 3 lata sporządzane będą oceny aktualności i stopnia realizacji GPR, o których mowa w art. 22 ust. 1 ustawy o rewitalizacji. Dodatkowo zaplanowano sporządzenie oceny efektów </w:t>
      </w:r>
      <w:r>
        <w:rPr>
          <w:i/>
          <w:iCs/>
        </w:rPr>
        <w:t>Programu</w:t>
      </w:r>
      <w:r>
        <w:rPr/>
        <w:t xml:space="preserve"> po zakończeniu jego realizacji (ocena </w:t>
      </w:r>
      <w:r>
        <w:rPr>
          <w:i/>
          <w:iCs/>
        </w:rPr>
        <w:t>ex post</w:t>
      </w:r>
      <w:r>
        <w:rPr/>
        <w:t>), co nastąpi w 2036 roku. Jej celem będzie weryfikacja zasadności kontynuacji procesu rewitalizacji w wyznaczonym obszarze oraz trafności założeń i skutków realizacji GPR.</w:t>
      </w:r>
    </w:p>
    <w:p>
      <w:pPr>
        <w:pStyle w:val="Normal"/>
        <w:spacing w:before="160" w:after="160"/>
        <w:rPr/>
      </w:pPr>
      <w:r>
        <w:rPr/>
        <w:t xml:space="preserve">W toku realizacji </w:t>
      </w:r>
      <w:r>
        <w:rPr>
          <w:i/>
          <w:iCs/>
        </w:rPr>
        <w:t>Programu</w:t>
      </w:r>
      <w:r>
        <w:rPr/>
        <w:t xml:space="preserve"> przewiduje się aktywny udział Komitetu Rewitalizacji. W okresie do 2035 roku przewiduje się zachowanie co najmniej trzech kadencji. Takie rozwiązanie z jednej strony pozwoli na zapewnienie ciągłości procesu, a z drugiej na utrzymanie na wysokim poziomie zaangażowania interesariuszy, co z kolei umożliwi ich udział merytoryczny w realizacji i ocenie tego procesu. </w:t>
      </w:r>
    </w:p>
    <w:p>
      <w:pPr>
        <w:pStyle w:val="Tabele"/>
        <w:jc w:val="center"/>
        <w:rPr/>
      </w:pPr>
      <w:bookmarkStart w:id="80" w:name="_Toc216991208"/>
      <w:bookmarkStart w:id="81" w:name="_Toc212187922"/>
      <w:bookmarkStart w:id="82" w:name="_Toc196596439"/>
      <w:r>
        <w:rPr/>
        <w:t xml:space="preserve">Tabela 6. Ramowy harmonogram realizacji Gminnego Programu Rewitalizacji </w:t>
      </w:r>
      <w:bookmarkEnd w:id="82"/>
      <w:r>
        <w:rPr/>
        <w:t>Gminy Nowe Miasteczko do roku 2035</w:t>
      </w:r>
      <w:bookmarkEnd w:id="80"/>
      <w:bookmarkEnd w:id="81"/>
    </w:p>
    <w:tbl>
      <w:tblPr>
        <w:tblStyle w:val="Tabelasiatki1jasna1"/>
        <w:tblW w:w="9067"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696"/>
        <w:gridCol w:w="1985"/>
        <w:gridCol w:w="5386"/>
      </w:tblGrid>
      <w:tr>
        <w:trPr>
          <w:cnfStyle w:val="100000000000" w:firstRow="1" w:lastRow="0" w:firstColumn="0" w:lastColumn="0" w:oddVBand="0" w:evenVBand="0" w:oddHBand="0" w:evenHBand="0" w:firstRowFirstColumn="0" w:firstRowLastColumn="0" w:lastRowFirstColumn="0" w:lastRowLastColumn="0"/>
        </w:trPr>
        <w:tc>
          <w:tcPr>
            <w:tcW w:w="3681" w:type="dxa"/>
            <w:gridSpan w:val="2"/>
            <w:cnfStyle w:val="001000000000" w:firstRow="0" w:lastRow="0" w:firstColumn="1" w:lastColumn="0" w:oddVBand="0" w:evenVBand="0" w:oddHBand="0" w:evenHBand="0" w:firstRowFirstColumn="0" w:firstRowLastColumn="0" w:lastRowFirstColumn="0" w:lastRowLastColumn="0"/>
            <w:tcBorders>
              <w:bottom w:val="single" w:sz="12" w:space="0" w:color="666666"/>
            </w:tcBorders>
          </w:tcPr>
          <w:p>
            <w:pPr>
              <w:pStyle w:val="NoSpacing"/>
              <w:widowControl w:val="false"/>
              <w:suppressAutoHyphens w:val="true"/>
              <w:spacing w:before="120" w:after="120"/>
              <w:jc w:val="center"/>
              <w:rPr>
                <w:rFonts w:ascii="Aptos" w:hAnsi="Aptos" w:eastAsia="Aptos"/>
              </w:rPr>
            </w:pPr>
            <w:r>
              <w:rPr>
                <w:rFonts w:eastAsia="Aptos" w:cs="" w:ascii="Aptos" w:hAnsi="Aptos"/>
                <w:b/>
                <w:bCs/>
                <w:kern w:val="2"/>
                <w:sz w:val="22"/>
                <w:szCs w:val="22"/>
                <w:lang w:val="pl-PL" w:eastAsia="en-US" w:bidi="ar-SA"/>
              </w:rPr>
              <w:t>Rok realizacji</w:t>
            </w:r>
          </w:p>
        </w:tc>
        <w:tc>
          <w:tcPr>
            <w:tcW w:w="5386" w:type="dxa"/>
            <w:tcBorders>
              <w:bottom w:val="single" w:sz="12" w:space="0" w:color="666666"/>
            </w:tcBorders>
          </w:tcPr>
          <w:p>
            <w:pPr>
              <w:pStyle w:val="NoSpacing"/>
              <w:widowControl w:val="false"/>
              <w:suppressAutoHyphens w:val="true"/>
              <w:spacing w:before="120" w:after="120"/>
              <w:jc w:val="center"/>
              <w:cnfStyle w:val="100000000000" w:firstRow="1"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b/>
                <w:bCs/>
                <w:kern w:val="2"/>
                <w:sz w:val="22"/>
                <w:szCs w:val="22"/>
                <w:lang w:val="pl-PL" w:eastAsia="en-US" w:bidi="ar-SA"/>
              </w:rPr>
              <w:t>Planowane działania</w:t>
            </w:r>
          </w:p>
        </w:tc>
      </w:tr>
      <w:tr>
        <w:trPr/>
        <w:tc>
          <w:tcPr>
            <w:tcW w:w="1696" w:type="dxa"/>
            <w:vMerge w:val="restart"/>
            <w:cnfStyle w:val="001000000000" w:firstRow="0" w:lastRow="0" w:firstColumn="1" w:lastColumn="0" w:oddVBand="0" w:evenVBand="0" w:oddHBand="0" w:evenHBand="0" w:firstRowFirstColumn="0" w:firstRowLastColumn="0" w:lastRowFirstColumn="0" w:lastRowLastColumn="0"/>
            <w:tcBorders/>
          </w:tcPr>
          <w:p>
            <w:pPr>
              <w:pStyle w:val="NoSpacing"/>
              <w:widowControl w:val="false"/>
              <w:suppressAutoHyphens w:val="true"/>
              <w:spacing w:before="120" w:after="120"/>
              <w:jc w:val="center"/>
              <w:rPr>
                <w:rFonts w:ascii="Aptos" w:hAnsi="Aptos" w:eastAsia="Aptos"/>
              </w:rPr>
            </w:pPr>
            <w:r>
              <w:rPr>
                <w:rFonts w:eastAsia="Aptos" w:cs="" w:ascii="Aptos" w:hAnsi="Aptos"/>
                <w:b/>
                <w:bCs/>
                <w:kern w:val="2"/>
                <w:sz w:val="22"/>
                <w:szCs w:val="22"/>
                <w:lang w:val="pl-PL" w:eastAsia="en-US" w:bidi="ar-SA"/>
              </w:rPr>
              <w:t>2026</w:t>
            </w:r>
          </w:p>
        </w:tc>
        <w:tc>
          <w:tcPr>
            <w:tcW w:w="1985" w:type="dxa"/>
            <w:tcBorders/>
          </w:tcPr>
          <w:p>
            <w:pPr>
              <w:pStyle w:val="NoSpacing"/>
              <w:widowControl w:val="false"/>
              <w:suppressAutoHyphens w:val="true"/>
              <w:spacing w:before="120" w:after="12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wdrożenie systemu zarządzania określonego w GPR;</w:t>
            </w:r>
          </w:p>
          <w:p>
            <w:pPr>
              <w:pStyle w:val="NoSpacing"/>
              <w:widowControl w:val="false"/>
              <w:suppressAutoHyphens w:val="true"/>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aktywne działania w zakresie kształtowania zasad realizacji przedsięwzięć rewitalizacyjnych w nowej perspektywie finansowej Unii Europejskiej;</w:t>
            </w:r>
          </w:p>
        </w:tc>
      </w:tr>
      <w:tr>
        <w:trPr/>
        <w:tc>
          <w:tcPr>
            <w:tcW w:w="1696" w:type="dxa"/>
            <w:vMerge w:val="continue"/>
            <w:cnfStyle w:val="001000000000" w:firstRow="0" w:lastRow="0" w:firstColumn="1" w:lastColumn="0" w:oddVBand="0" w:evenVBand="0" w:oddHBand="0" w:evenHBand="0" w:firstRowFirstColumn="0" w:firstRowLastColumn="0" w:lastRowFirstColumn="0" w:lastRowLastColumn="0"/>
            <w:tcBorders/>
          </w:tcPr>
          <w:p>
            <w:pPr>
              <w:pStyle w:val="NoSpacing"/>
              <w:widowControl w:val="false"/>
              <w:suppressAutoHyphens w:val="true"/>
              <w:spacing w:before="120" w:after="120"/>
              <w:jc w:val="center"/>
              <w:rPr>
                <w:rFonts w:ascii="Aptos" w:hAnsi="Aptos" w:eastAsia="Aptos"/>
              </w:rPr>
            </w:pPr>
            <w:r>
              <w:rPr>
                <w:rFonts w:eastAsia="Aptos" w:cs="" w:ascii="Aptos" w:hAnsi="Aptos"/>
                <w:b/>
                <w:bCs/>
                <w:kern w:val="2"/>
                <w:sz w:val="22"/>
                <w:szCs w:val="22"/>
                <w:lang w:val="pl-PL" w:eastAsia="en-US" w:bidi="ar-SA"/>
              </w:rPr>
            </w:r>
          </w:p>
        </w:tc>
        <w:tc>
          <w:tcPr>
            <w:tcW w:w="1985" w:type="dxa"/>
            <w:tcBorders/>
          </w:tcPr>
          <w:p>
            <w:pPr>
              <w:pStyle w:val="NoSpacing"/>
              <w:widowControl w:val="false"/>
              <w:suppressAutoHyphens w:val="true"/>
              <w:spacing w:before="120" w:after="12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tc>
      </w:tr>
      <w:tr>
        <w:trPr/>
        <w:tc>
          <w:tcPr>
            <w:tcW w:w="1696" w:type="dxa"/>
            <w:vMerge w:val="restart"/>
            <w:cnfStyle w:val="001000000000" w:firstRow="0" w:lastRow="0" w:firstColumn="1" w:lastColumn="0" w:oddVBand="0" w:evenVBand="0" w:oddHBand="0" w:evenHBand="0" w:firstRowFirstColumn="0" w:firstRowLastColumn="0" w:lastRowFirstColumn="0" w:lastRowLastColumn="0"/>
            <w:tcBorders/>
          </w:tcPr>
          <w:p>
            <w:pPr>
              <w:pStyle w:val="NoSpacing"/>
              <w:widowControl w:val="false"/>
              <w:suppressAutoHyphens w:val="true"/>
              <w:spacing w:before="120" w:after="120"/>
              <w:jc w:val="center"/>
              <w:rPr>
                <w:rFonts w:ascii="Aptos" w:hAnsi="Aptos" w:eastAsia="Aptos"/>
              </w:rPr>
            </w:pPr>
            <w:r>
              <w:rPr>
                <w:rFonts w:eastAsia="Aptos" w:cs="" w:ascii="Aptos" w:hAnsi="Aptos"/>
                <w:b/>
                <w:bCs/>
                <w:kern w:val="2"/>
                <w:sz w:val="22"/>
                <w:szCs w:val="22"/>
                <w:lang w:val="pl-PL" w:eastAsia="en-US" w:bidi="ar-SA"/>
              </w:rPr>
              <w:t>2027</w:t>
            </w:r>
          </w:p>
        </w:tc>
        <w:tc>
          <w:tcPr>
            <w:tcW w:w="1985" w:type="dxa"/>
            <w:tcBorders/>
          </w:tcPr>
          <w:p>
            <w:pPr>
              <w:pStyle w:val="NoSpacing"/>
              <w:widowControl w:val="false"/>
              <w:suppressAutoHyphens w:val="true"/>
              <w:spacing w:before="120" w:after="12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Raportu dotyczącego stanu realizacji w 2026 roku;</w:t>
            </w:r>
          </w:p>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tc>
      </w:tr>
      <w:tr>
        <w:trPr>
          <w:trHeight w:val="909" w:hRule="atLeast"/>
        </w:trPr>
        <w:tc>
          <w:tcPr>
            <w:tcW w:w="1696" w:type="dxa"/>
            <w:vMerge w:val="continue"/>
            <w:cnfStyle w:val="001000000000" w:firstRow="0" w:lastRow="0" w:firstColumn="1" w:lastColumn="0" w:oddVBand="0" w:evenVBand="0" w:oddHBand="0" w:evenHBand="0" w:firstRowFirstColumn="0" w:firstRowLastColumn="0" w:lastRowFirstColumn="0" w:lastRowLastColumn="0"/>
            <w:tcBorders/>
          </w:tcPr>
          <w:p>
            <w:pPr>
              <w:pStyle w:val="NoSpacing"/>
              <w:widowControl w:val="false"/>
              <w:suppressAutoHyphens w:val="true"/>
              <w:spacing w:before="120" w:after="120"/>
              <w:jc w:val="center"/>
              <w:rPr>
                <w:rFonts w:ascii="Aptos" w:hAnsi="Aptos" w:eastAsia="Aptos"/>
              </w:rPr>
            </w:pPr>
            <w:r>
              <w:rPr>
                <w:rFonts w:eastAsia="Aptos" w:cs="" w:ascii="Aptos" w:hAnsi="Aptos"/>
                <w:b/>
                <w:bCs/>
                <w:kern w:val="2"/>
                <w:sz w:val="22"/>
                <w:szCs w:val="22"/>
                <w:lang w:val="pl-PL" w:eastAsia="en-US" w:bidi="ar-SA"/>
              </w:rPr>
            </w:r>
          </w:p>
        </w:tc>
        <w:tc>
          <w:tcPr>
            <w:tcW w:w="1985" w:type="dxa"/>
            <w:tcBorders/>
          </w:tcPr>
          <w:p>
            <w:pPr>
              <w:pStyle w:val="NoSpacing"/>
              <w:widowControl w:val="false"/>
              <w:suppressAutoHyphens w:val="true"/>
              <w:spacing w:before="120" w:after="12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tc>
      </w:tr>
      <w:tr>
        <w:trPr/>
        <w:tc>
          <w:tcPr>
            <w:tcW w:w="1696" w:type="dxa"/>
            <w:vMerge w:val="restart"/>
            <w:cnfStyle w:val="001000000000" w:firstRow="0" w:lastRow="0" w:firstColumn="1" w:lastColumn="0" w:oddVBand="0" w:evenVBand="0" w:oddHBand="0" w:evenHBand="0" w:firstRowFirstColumn="0" w:firstRowLastColumn="0" w:lastRowFirstColumn="0" w:lastRowLastColumn="0"/>
            <w:tcBorders/>
          </w:tcPr>
          <w:p>
            <w:pPr>
              <w:pStyle w:val="NoSpacing"/>
              <w:widowControl w:val="false"/>
              <w:suppressAutoHyphens w:val="true"/>
              <w:spacing w:before="120" w:after="120"/>
              <w:jc w:val="center"/>
              <w:rPr>
                <w:rFonts w:ascii="Aptos" w:hAnsi="Aptos" w:eastAsia="Aptos"/>
              </w:rPr>
            </w:pPr>
            <w:r>
              <w:rPr>
                <w:rFonts w:eastAsia="Aptos" w:cs="" w:ascii="Aptos" w:hAnsi="Aptos"/>
                <w:b/>
                <w:bCs/>
                <w:kern w:val="2"/>
                <w:sz w:val="22"/>
                <w:szCs w:val="22"/>
                <w:lang w:val="pl-PL" w:eastAsia="en-US" w:bidi="ar-SA"/>
              </w:rPr>
              <w:t>2028</w:t>
            </w:r>
          </w:p>
        </w:tc>
        <w:tc>
          <w:tcPr>
            <w:tcW w:w="1985" w:type="dxa"/>
            <w:tcBorders/>
          </w:tcPr>
          <w:p>
            <w:pPr>
              <w:pStyle w:val="NoSpacing"/>
              <w:widowControl w:val="false"/>
              <w:suppressAutoHyphens w:val="true"/>
              <w:spacing w:before="120" w:after="12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Raportu dotyczącego stanu realizacji w 2027 roku;</w:t>
            </w:r>
          </w:p>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tc>
      </w:tr>
      <w:tr>
        <w:trPr/>
        <w:tc>
          <w:tcPr>
            <w:tcW w:w="1696" w:type="dxa"/>
            <w:vMerge w:val="continue"/>
            <w:cnfStyle w:val="001000000000" w:firstRow="0" w:lastRow="0" w:firstColumn="1" w:lastColumn="0" w:oddVBand="0" w:evenVBand="0" w:oddHBand="0" w:evenHBand="0" w:firstRowFirstColumn="0" w:firstRowLastColumn="0" w:lastRowFirstColumn="0" w:lastRowLastColumn="0"/>
            <w:tcBorders/>
          </w:tcPr>
          <w:p>
            <w:pPr>
              <w:pStyle w:val="NoSpacing"/>
              <w:widowControl w:val="false"/>
              <w:suppressAutoHyphens w:val="true"/>
              <w:spacing w:before="120" w:after="120"/>
              <w:jc w:val="center"/>
              <w:rPr>
                <w:rFonts w:ascii="Aptos" w:hAnsi="Aptos" w:eastAsia="Aptos"/>
              </w:rPr>
            </w:pPr>
            <w:r>
              <w:rPr>
                <w:rFonts w:eastAsia="Aptos" w:cs="" w:ascii="Aptos" w:hAnsi="Aptos"/>
                <w:b/>
                <w:bCs/>
                <w:kern w:val="2"/>
                <w:sz w:val="22"/>
                <w:szCs w:val="22"/>
                <w:lang w:val="pl-PL" w:eastAsia="en-US" w:bidi="ar-SA"/>
              </w:rPr>
            </w:r>
          </w:p>
        </w:tc>
        <w:tc>
          <w:tcPr>
            <w:tcW w:w="1985" w:type="dxa"/>
            <w:tcBorders/>
          </w:tcPr>
          <w:p>
            <w:pPr>
              <w:pStyle w:val="NoSpacing"/>
              <w:widowControl w:val="false"/>
              <w:suppressAutoHyphens w:val="true"/>
              <w:spacing w:before="120" w:after="12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pierwszej Oceny aktualności i stopnia realizacji GPR</w:t>
            </w:r>
          </w:p>
        </w:tc>
      </w:tr>
      <w:tr>
        <w:trPr/>
        <w:tc>
          <w:tcPr>
            <w:tcW w:w="1696" w:type="dxa"/>
            <w:vMerge w:val="restart"/>
            <w:cnfStyle w:val="001000000000" w:firstRow="0" w:lastRow="0" w:firstColumn="1" w:lastColumn="0" w:oddVBand="0" w:evenVBand="0" w:oddHBand="0" w:evenHBand="0" w:firstRowFirstColumn="0" w:firstRowLastColumn="0" w:lastRowFirstColumn="0" w:lastRowLastColumn="0"/>
            <w:tcBorders/>
          </w:tcPr>
          <w:p>
            <w:pPr>
              <w:pStyle w:val="NoSpacing"/>
              <w:widowControl w:val="false"/>
              <w:suppressAutoHyphens w:val="true"/>
              <w:spacing w:before="120" w:after="120"/>
              <w:jc w:val="center"/>
              <w:rPr>
                <w:rFonts w:ascii="Aptos" w:hAnsi="Aptos" w:eastAsia="Aptos"/>
              </w:rPr>
            </w:pPr>
            <w:r>
              <w:rPr>
                <w:rFonts w:eastAsia="Aptos" w:cs="" w:ascii="Aptos" w:hAnsi="Aptos"/>
                <w:b/>
                <w:bCs/>
                <w:kern w:val="2"/>
                <w:sz w:val="22"/>
                <w:szCs w:val="22"/>
                <w:lang w:val="pl-PL" w:eastAsia="en-US" w:bidi="ar-SA"/>
              </w:rPr>
              <w:t>2029</w:t>
            </w:r>
          </w:p>
        </w:tc>
        <w:tc>
          <w:tcPr>
            <w:tcW w:w="1985" w:type="dxa"/>
            <w:tcBorders/>
          </w:tcPr>
          <w:p>
            <w:pPr>
              <w:pStyle w:val="NoSpacing"/>
              <w:widowControl w:val="false"/>
              <w:suppressAutoHyphens w:val="true"/>
              <w:spacing w:before="120" w:after="12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Raportu dotyczącego stanu realizacji w 2028 roku;</w:t>
            </w:r>
          </w:p>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tc>
      </w:tr>
      <w:tr>
        <w:trPr/>
        <w:tc>
          <w:tcPr>
            <w:tcW w:w="1696" w:type="dxa"/>
            <w:vMerge w:val="continue"/>
            <w:cnfStyle w:val="001000000000" w:firstRow="0" w:lastRow="0" w:firstColumn="1" w:lastColumn="0" w:oddVBand="0" w:evenVBand="0" w:oddHBand="0" w:evenHBand="0" w:firstRowFirstColumn="0" w:firstRowLastColumn="0" w:lastRowFirstColumn="0" w:lastRowLastColumn="0"/>
            <w:tcBorders/>
          </w:tcPr>
          <w:p>
            <w:pPr>
              <w:pStyle w:val="NoSpacing"/>
              <w:widowControl w:val="false"/>
              <w:suppressAutoHyphens w:val="true"/>
              <w:spacing w:before="120" w:after="120"/>
              <w:jc w:val="center"/>
              <w:rPr>
                <w:rFonts w:ascii="Aptos" w:hAnsi="Aptos" w:eastAsia="Aptos"/>
              </w:rPr>
            </w:pPr>
            <w:r>
              <w:rPr>
                <w:rFonts w:eastAsia="Aptos" w:cs="" w:ascii="Aptos" w:hAnsi="Aptos"/>
                <w:b/>
                <w:bCs/>
                <w:kern w:val="2"/>
                <w:sz w:val="22"/>
                <w:szCs w:val="22"/>
                <w:lang w:val="pl-PL" w:eastAsia="en-US" w:bidi="ar-SA"/>
              </w:rPr>
            </w:r>
          </w:p>
        </w:tc>
        <w:tc>
          <w:tcPr>
            <w:tcW w:w="1985" w:type="dxa"/>
            <w:tcBorders/>
          </w:tcPr>
          <w:p>
            <w:pPr>
              <w:pStyle w:val="NoSpacing"/>
              <w:widowControl w:val="false"/>
              <w:suppressAutoHyphens w:val="true"/>
              <w:spacing w:before="120" w:after="12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tc>
      </w:tr>
      <w:tr>
        <w:trPr/>
        <w:tc>
          <w:tcPr>
            <w:tcW w:w="1696" w:type="dxa"/>
            <w:vMerge w:val="restart"/>
            <w:cnfStyle w:val="001000000000" w:firstRow="0" w:lastRow="0" w:firstColumn="1" w:lastColumn="0" w:oddVBand="0" w:evenVBand="0" w:oddHBand="0" w:evenHBand="0" w:firstRowFirstColumn="0" w:firstRowLastColumn="0" w:lastRowFirstColumn="0" w:lastRowLastColumn="0"/>
            <w:tcBorders/>
          </w:tcPr>
          <w:p>
            <w:pPr>
              <w:pStyle w:val="NoSpacing"/>
              <w:widowControl w:val="false"/>
              <w:suppressAutoHyphens w:val="true"/>
              <w:spacing w:before="120" w:after="120"/>
              <w:jc w:val="center"/>
              <w:rPr>
                <w:rFonts w:ascii="Aptos" w:hAnsi="Aptos" w:eastAsia="Aptos"/>
              </w:rPr>
            </w:pPr>
            <w:r>
              <w:rPr>
                <w:rFonts w:eastAsia="Aptos" w:cs="" w:ascii="Aptos" w:hAnsi="Aptos"/>
                <w:b/>
                <w:bCs/>
                <w:kern w:val="2"/>
                <w:sz w:val="22"/>
                <w:szCs w:val="22"/>
                <w:lang w:val="pl-PL" w:eastAsia="en-US" w:bidi="ar-SA"/>
              </w:rPr>
              <w:t>2030</w:t>
            </w:r>
          </w:p>
        </w:tc>
        <w:tc>
          <w:tcPr>
            <w:tcW w:w="1985" w:type="dxa"/>
            <w:tcBorders/>
          </w:tcPr>
          <w:p>
            <w:pPr>
              <w:pStyle w:val="NoSpacing"/>
              <w:widowControl w:val="false"/>
              <w:suppressAutoHyphens w:val="true"/>
              <w:spacing w:before="120" w:after="12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Raportu dotyczącego stanu realizacji w 2029 roku;</w:t>
            </w:r>
          </w:p>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tc>
      </w:tr>
      <w:tr>
        <w:trPr/>
        <w:tc>
          <w:tcPr>
            <w:tcW w:w="1696" w:type="dxa"/>
            <w:vMerge w:val="continue"/>
            <w:cnfStyle w:val="001000000000" w:firstRow="0" w:lastRow="0" w:firstColumn="1" w:lastColumn="0" w:oddVBand="0" w:evenVBand="0" w:oddHBand="0" w:evenHBand="0" w:firstRowFirstColumn="0" w:firstRowLastColumn="0" w:lastRowFirstColumn="0" w:lastRowLastColumn="0"/>
            <w:tcBorders/>
          </w:tcPr>
          <w:p>
            <w:pPr>
              <w:pStyle w:val="NoSpacing"/>
              <w:widowControl w:val="false"/>
              <w:suppressAutoHyphens w:val="true"/>
              <w:spacing w:before="120" w:after="120"/>
              <w:jc w:val="center"/>
              <w:rPr>
                <w:rFonts w:ascii="Aptos" w:hAnsi="Aptos" w:eastAsia="Aptos"/>
              </w:rPr>
            </w:pPr>
            <w:r>
              <w:rPr>
                <w:rFonts w:eastAsia="Aptos" w:cs="" w:ascii="Aptos" w:hAnsi="Aptos"/>
                <w:b/>
                <w:bCs/>
                <w:kern w:val="2"/>
                <w:sz w:val="22"/>
                <w:szCs w:val="22"/>
                <w:lang w:val="pl-PL" w:eastAsia="en-US" w:bidi="ar-SA"/>
              </w:rPr>
            </w:r>
          </w:p>
        </w:tc>
        <w:tc>
          <w:tcPr>
            <w:tcW w:w="1985" w:type="dxa"/>
            <w:tcBorders/>
          </w:tcPr>
          <w:p>
            <w:pPr>
              <w:pStyle w:val="NoSpacing"/>
              <w:widowControl w:val="false"/>
              <w:suppressAutoHyphens w:val="true"/>
              <w:spacing w:before="120" w:after="12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tc>
      </w:tr>
      <w:tr>
        <w:trPr/>
        <w:tc>
          <w:tcPr>
            <w:tcW w:w="1696" w:type="dxa"/>
            <w:vMerge w:val="restart"/>
            <w:cnfStyle w:val="001000000000" w:firstRow="0" w:lastRow="0" w:firstColumn="1" w:lastColumn="0" w:oddVBand="0" w:evenVBand="0" w:oddHBand="0" w:evenHBand="0" w:firstRowFirstColumn="0" w:firstRowLastColumn="0" w:lastRowFirstColumn="0" w:lastRowLastColumn="0"/>
            <w:tcBorders/>
          </w:tcPr>
          <w:p>
            <w:pPr>
              <w:pStyle w:val="NoSpacing"/>
              <w:widowControl w:val="false"/>
              <w:suppressAutoHyphens w:val="true"/>
              <w:spacing w:before="120" w:after="120"/>
              <w:jc w:val="center"/>
              <w:rPr>
                <w:rFonts w:ascii="Aptos" w:hAnsi="Aptos" w:eastAsia="Aptos"/>
              </w:rPr>
            </w:pPr>
            <w:r>
              <w:rPr>
                <w:rFonts w:eastAsia="Aptos" w:cs="" w:ascii="Aptos" w:hAnsi="Aptos"/>
                <w:b/>
                <w:bCs/>
                <w:kern w:val="2"/>
                <w:sz w:val="22"/>
                <w:szCs w:val="22"/>
                <w:lang w:val="pl-PL" w:eastAsia="en-US" w:bidi="ar-SA"/>
              </w:rPr>
              <w:t>2031</w:t>
            </w:r>
          </w:p>
        </w:tc>
        <w:tc>
          <w:tcPr>
            <w:tcW w:w="1985" w:type="dxa"/>
            <w:tcBorders/>
          </w:tcPr>
          <w:p>
            <w:pPr>
              <w:pStyle w:val="NoSpacing"/>
              <w:widowControl w:val="false"/>
              <w:suppressAutoHyphens w:val="true"/>
              <w:spacing w:before="120" w:after="12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Raportu dotyczącego stanu realizacji w 2030 roku;</w:t>
            </w:r>
          </w:p>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tc>
      </w:tr>
      <w:tr>
        <w:trPr/>
        <w:tc>
          <w:tcPr>
            <w:tcW w:w="1696" w:type="dxa"/>
            <w:vMerge w:val="continue"/>
            <w:cnfStyle w:val="001000000000" w:firstRow="0" w:lastRow="0" w:firstColumn="1" w:lastColumn="0" w:oddVBand="0" w:evenVBand="0" w:oddHBand="0" w:evenHBand="0" w:firstRowFirstColumn="0" w:firstRowLastColumn="0" w:lastRowFirstColumn="0" w:lastRowLastColumn="0"/>
            <w:tcBorders/>
          </w:tcPr>
          <w:p>
            <w:pPr>
              <w:pStyle w:val="NoSpacing"/>
              <w:widowControl w:val="false"/>
              <w:suppressAutoHyphens w:val="true"/>
              <w:spacing w:before="120" w:after="120"/>
              <w:jc w:val="center"/>
              <w:rPr>
                <w:rFonts w:ascii="Aptos" w:hAnsi="Aptos" w:eastAsia="Aptos"/>
              </w:rPr>
            </w:pPr>
            <w:r>
              <w:rPr>
                <w:rFonts w:eastAsia="Aptos" w:cs="" w:ascii="Aptos" w:hAnsi="Aptos"/>
                <w:b/>
                <w:bCs/>
                <w:kern w:val="2"/>
                <w:sz w:val="22"/>
                <w:szCs w:val="22"/>
                <w:lang w:val="pl-PL" w:eastAsia="en-US" w:bidi="ar-SA"/>
              </w:rPr>
            </w:r>
          </w:p>
        </w:tc>
        <w:tc>
          <w:tcPr>
            <w:tcW w:w="1985" w:type="dxa"/>
            <w:tcBorders/>
          </w:tcPr>
          <w:p>
            <w:pPr>
              <w:pStyle w:val="NoSpacing"/>
              <w:widowControl w:val="false"/>
              <w:suppressAutoHyphens w:val="true"/>
              <w:spacing w:before="120" w:after="12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drugiej Oceny aktualności i stopnia realizacji GPR</w:t>
            </w:r>
          </w:p>
        </w:tc>
      </w:tr>
      <w:tr>
        <w:trPr/>
        <w:tc>
          <w:tcPr>
            <w:tcW w:w="1696" w:type="dxa"/>
            <w:vMerge w:val="restart"/>
            <w:cnfStyle w:val="001000000000" w:firstRow="0" w:lastRow="0" w:firstColumn="1" w:lastColumn="0" w:oddVBand="0" w:evenVBand="0" w:oddHBand="0" w:evenHBand="0" w:firstRowFirstColumn="0" w:firstRowLastColumn="0" w:lastRowFirstColumn="0" w:lastRowLastColumn="0"/>
            <w:tcBorders/>
          </w:tcPr>
          <w:p>
            <w:pPr>
              <w:pStyle w:val="NoSpacing"/>
              <w:widowControl w:val="false"/>
              <w:suppressAutoHyphens w:val="true"/>
              <w:spacing w:before="120" w:after="120"/>
              <w:jc w:val="center"/>
              <w:rPr>
                <w:rFonts w:ascii="Aptos" w:hAnsi="Aptos" w:eastAsia="Aptos"/>
              </w:rPr>
            </w:pPr>
            <w:r>
              <w:rPr>
                <w:rFonts w:eastAsia="Aptos" w:cs="" w:ascii="Aptos" w:hAnsi="Aptos"/>
                <w:b/>
                <w:bCs/>
                <w:kern w:val="2"/>
                <w:sz w:val="22"/>
                <w:szCs w:val="22"/>
                <w:lang w:val="pl-PL" w:eastAsia="en-US" w:bidi="ar-SA"/>
              </w:rPr>
              <w:t>2032</w:t>
            </w:r>
          </w:p>
        </w:tc>
        <w:tc>
          <w:tcPr>
            <w:tcW w:w="1985" w:type="dxa"/>
            <w:tcBorders/>
          </w:tcPr>
          <w:p>
            <w:pPr>
              <w:pStyle w:val="NoSpacing"/>
              <w:widowControl w:val="false"/>
              <w:suppressAutoHyphens w:val="true"/>
              <w:spacing w:before="120" w:after="12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Raportu dotyczącego stanu realizacji w 2031 roku;</w:t>
            </w:r>
          </w:p>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tc>
      </w:tr>
      <w:tr>
        <w:trPr/>
        <w:tc>
          <w:tcPr>
            <w:tcW w:w="1696" w:type="dxa"/>
            <w:vMerge w:val="continue"/>
            <w:cnfStyle w:val="001000000000" w:firstRow="0" w:lastRow="0" w:firstColumn="1" w:lastColumn="0" w:oddVBand="0" w:evenVBand="0" w:oddHBand="0" w:evenHBand="0" w:firstRowFirstColumn="0" w:firstRowLastColumn="0" w:lastRowFirstColumn="0" w:lastRowLastColumn="0"/>
            <w:tcBorders/>
          </w:tcPr>
          <w:p>
            <w:pPr>
              <w:pStyle w:val="NoSpacing"/>
              <w:widowControl w:val="false"/>
              <w:suppressAutoHyphens w:val="true"/>
              <w:spacing w:before="120" w:after="120"/>
              <w:jc w:val="center"/>
              <w:rPr>
                <w:rFonts w:ascii="Aptos" w:hAnsi="Aptos" w:eastAsia="Aptos"/>
              </w:rPr>
            </w:pPr>
            <w:r>
              <w:rPr>
                <w:rFonts w:eastAsia="Aptos" w:cs="" w:ascii="Aptos" w:hAnsi="Aptos"/>
                <w:b/>
                <w:bCs/>
                <w:kern w:val="2"/>
                <w:sz w:val="22"/>
                <w:szCs w:val="22"/>
                <w:lang w:val="pl-PL" w:eastAsia="en-US" w:bidi="ar-SA"/>
              </w:rPr>
            </w:r>
          </w:p>
        </w:tc>
        <w:tc>
          <w:tcPr>
            <w:tcW w:w="1985" w:type="dxa"/>
            <w:tcBorders/>
          </w:tcPr>
          <w:p>
            <w:pPr>
              <w:pStyle w:val="NoSpacing"/>
              <w:widowControl w:val="false"/>
              <w:suppressAutoHyphens w:val="true"/>
              <w:spacing w:before="120" w:after="12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tc>
      </w:tr>
      <w:tr>
        <w:trPr/>
        <w:tc>
          <w:tcPr>
            <w:tcW w:w="1696" w:type="dxa"/>
            <w:vMerge w:val="restart"/>
            <w:cnfStyle w:val="001000000000" w:firstRow="0" w:lastRow="0" w:firstColumn="1" w:lastColumn="0" w:oddVBand="0" w:evenVBand="0" w:oddHBand="0" w:evenHBand="0" w:firstRowFirstColumn="0" w:firstRowLastColumn="0" w:lastRowFirstColumn="0" w:lastRowLastColumn="0"/>
            <w:tcBorders/>
          </w:tcPr>
          <w:p>
            <w:pPr>
              <w:pStyle w:val="NoSpacing"/>
              <w:widowControl w:val="false"/>
              <w:suppressAutoHyphens w:val="true"/>
              <w:spacing w:before="120" w:after="120"/>
              <w:jc w:val="center"/>
              <w:rPr>
                <w:rFonts w:ascii="Aptos" w:hAnsi="Aptos" w:eastAsia="Aptos"/>
              </w:rPr>
            </w:pPr>
            <w:r>
              <w:rPr>
                <w:rFonts w:eastAsia="Aptos" w:cs="" w:ascii="Aptos" w:hAnsi="Aptos"/>
                <w:b/>
                <w:bCs/>
                <w:kern w:val="2"/>
                <w:sz w:val="22"/>
                <w:szCs w:val="22"/>
                <w:lang w:val="pl-PL" w:eastAsia="en-US" w:bidi="ar-SA"/>
              </w:rPr>
              <w:t>2033</w:t>
            </w:r>
          </w:p>
        </w:tc>
        <w:tc>
          <w:tcPr>
            <w:tcW w:w="1985" w:type="dxa"/>
            <w:tcBorders/>
          </w:tcPr>
          <w:p>
            <w:pPr>
              <w:pStyle w:val="NoSpacing"/>
              <w:widowControl w:val="false"/>
              <w:suppressAutoHyphens w:val="true"/>
              <w:spacing w:before="120" w:after="12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eastAsia="Aptos"/>
              </w:rPr>
            </w:pPr>
            <w:r>
              <w:rPr>
                <w:rFonts w:eastAsia="Aptos" w:cs=""/>
                <w:kern w:val="2"/>
                <w:sz w:val="22"/>
                <w:szCs w:val="22"/>
                <w:lang w:val="pl-PL" w:eastAsia="en-US" w:bidi="ar-SA"/>
              </w:rPr>
              <w:t>przygotowanie Raportu dotyczącego stanu realizacji w 2032 roku;</w:t>
            </w:r>
          </w:p>
          <w:p>
            <w:pPr>
              <w:pStyle w:val="Normal"/>
              <w:widowControl w:val="false"/>
              <w:suppressAutoHyphens w:val="true"/>
              <w:spacing w:before="0" w:after="0"/>
              <w:jc w:val="start"/>
              <w:cnfStyle w:val="000000000000" w:firstRow="0" w:lastRow="0" w:firstColumn="0" w:lastColumn="0" w:oddVBand="0" w:evenVBand="0" w:oddHBand="0" w:evenHBand="0" w:firstRowFirstColumn="0" w:firstRowLastColumn="0" w:lastRowFirstColumn="0" w:lastRowLastColumn="0"/>
              <w:rPr>
                <w:rFonts w:eastAsia="Aptos"/>
              </w:rPr>
            </w:pPr>
            <w:r>
              <w:rPr>
                <w:rFonts w:eastAsia="Aptos" w:cs=""/>
                <w:kern w:val="2"/>
                <w:sz w:val="22"/>
                <w:szCs w:val="22"/>
                <w:lang w:val="pl-PL" w:eastAsia="en-US" w:bidi="ar-SA"/>
              </w:rPr>
              <w:t>przygotowanie i wdrażanie przedsięwzięć rewitalizacyjnych;</w:t>
            </w:r>
          </w:p>
          <w:p>
            <w:pPr>
              <w:pStyle w:val="Normal"/>
              <w:widowControl w:val="false"/>
              <w:suppressAutoHyphens w:val="true"/>
              <w:spacing w:before="0" w:after="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początek prac koncepcyjnych nad kolejnym GPR</w:t>
            </w:r>
          </w:p>
        </w:tc>
      </w:tr>
      <w:tr>
        <w:trPr/>
        <w:tc>
          <w:tcPr>
            <w:tcW w:w="1696" w:type="dxa"/>
            <w:vMerge w:val="continue"/>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center"/>
              <w:rPr>
                <w:rFonts w:ascii="Aptos" w:hAnsi="Aptos" w:eastAsia="Aptos"/>
              </w:rPr>
            </w:pPr>
            <w:r>
              <w:rPr>
                <w:rFonts w:eastAsia="Aptos" w:cs="" w:ascii="Aptos" w:hAnsi="Aptos"/>
                <w:b/>
                <w:bCs/>
                <w:kern w:val="2"/>
                <w:sz w:val="22"/>
                <w:szCs w:val="22"/>
                <w:lang w:val="pl-PL" w:eastAsia="en-US" w:bidi="ar-SA"/>
              </w:rPr>
            </w:r>
          </w:p>
        </w:tc>
        <w:tc>
          <w:tcPr>
            <w:tcW w:w="1985" w:type="dxa"/>
            <w:tcBorders/>
          </w:tcPr>
          <w:p>
            <w:pPr>
              <w:pStyle w:val="Normal"/>
              <w:widowControl w:val="false"/>
              <w:suppressAutoHyphens w:val="true"/>
              <w:spacing w:before="0" w:after="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II połowa roku</w:t>
            </w:r>
          </w:p>
        </w:tc>
        <w:tc>
          <w:tcPr>
            <w:tcW w:w="5386" w:type="dxa"/>
            <w:tcBorders/>
          </w:tcPr>
          <w:p>
            <w:pPr>
              <w:pStyle w:val="Normal"/>
              <w:widowControl w:val="false"/>
              <w:suppressAutoHyphens w:val="true"/>
              <w:spacing w:before="0" w:after="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tc>
      </w:tr>
      <w:tr>
        <w:trPr/>
        <w:tc>
          <w:tcPr>
            <w:tcW w:w="1696" w:type="dxa"/>
            <w:vMerge w:val="restart"/>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center"/>
              <w:rPr>
                <w:rFonts w:ascii="Aptos" w:hAnsi="Aptos" w:eastAsia="Aptos"/>
              </w:rPr>
            </w:pPr>
            <w:r>
              <w:rPr>
                <w:rFonts w:eastAsia="Aptos" w:cs="" w:ascii="Aptos" w:hAnsi="Aptos"/>
                <w:b/>
                <w:bCs/>
                <w:kern w:val="2"/>
                <w:sz w:val="22"/>
                <w:szCs w:val="22"/>
                <w:lang w:val="pl-PL" w:eastAsia="en-US" w:bidi="ar-SA"/>
              </w:rPr>
              <w:t>2034</w:t>
            </w:r>
          </w:p>
        </w:tc>
        <w:tc>
          <w:tcPr>
            <w:tcW w:w="1985" w:type="dxa"/>
            <w:tcBorders/>
          </w:tcPr>
          <w:p>
            <w:pPr>
              <w:pStyle w:val="Normal"/>
              <w:widowControl w:val="false"/>
              <w:suppressAutoHyphens w:val="true"/>
              <w:spacing w:before="0" w:after="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Raportu dotyczącego stanu realizacji w 2033 roku;</w:t>
            </w:r>
          </w:p>
          <w:p>
            <w:pPr>
              <w:pStyle w:val="Normal"/>
              <w:widowControl w:val="false"/>
              <w:suppressAutoHyphens w:val="true"/>
              <w:spacing w:before="0" w:after="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tc>
      </w:tr>
      <w:tr>
        <w:trPr/>
        <w:tc>
          <w:tcPr>
            <w:tcW w:w="1696" w:type="dxa"/>
            <w:vMerge w:val="continue"/>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center"/>
              <w:rPr>
                <w:rFonts w:ascii="Aptos" w:hAnsi="Aptos" w:eastAsia="Aptos"/>
              </w:rPr>
            </w:pPr>
            <w:r>
              <w:rPr>
                <w:rFonts w:eastAsia="Aptos" w:cs="" w:ascii="Aptos" w:hAnsi="Aptos"/>
                <w:b/>
                <w:bCs/>
                <w:kern w:val="2"/>
                <w:sz w:val="22"/>
                <w:szCs w:val="22"/>
                <w:lang w:val="pl-PL" w:eastAsia="en-US" w:bidi="ar-SA"/>
              </w:rPr>
            </w:r>
          </w:p>
        </w:tc>
        <w:tc>
          <w:tcPr>
            <w:tcW w:w="1985" w:type="dxa"/>
            <w:tcBorders/>
          </w:tcPr>
          <w:p>
            <w:pPr>
              <w:pStyle w:val="Normal"/>
              <w:widowControl w:val="false"/>
              <w:suppressAutoHyphens w:val="true"/>
              <w:spacing w:before="0" w:after="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trzeciej Oceny aktualności i stopnia realizacji GPR</w:t>
            </w:r>
          </w:p>
        </w:tc>
      </w:tr>
      <w:tr>
        <w:trPr/>
        <w:tc>
          <w:tcPr>
            <w:tcW w:w="1696" w:type="dxa"/>
            <w:vMerge w:val="restart"/>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center"/>
              <w:rPr>
                <w:rFonts w:ascii="Aptos" w:hAnsi="Aptos" w:eastAsia="Aptos"/>
              </w:rPr>
            </w:pPr>
            <w:r>
              <w:rPr>
                <w:rFonts w:eastAsia="Aptos" w:cs="" w:ascii="Aptos" w:hAnsi="Aptos"/>
                <w:b/>
                <w:bCs/>
                <w:kern w:val="2"/>
                <w:sz w:val="22"/>
                <w:szCs w:val="22"/>
                <w:lang w:val="pl-PL" w:eastAsia="en-US" w:bidi="ar-SA"/>
              </w:rPr>
              <w:t>2035</w:t>
            </w:r>
          </w:p>
        </w:tc>
        <w:tc>
          <w:tcPr>
            <w:tcW w:w="1985" w:type="dxa"/>
            <w:tcBorders/>
          </w:tcPr>
          <w:p>
            <w:pPr>
              <w:pStyle w:val="Normal"/>
              <w:widowControl w:val="false"/>
              <w:suppressAutoHyphens w:val="true"/>
              <w:spacing w:before="0" w:after="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Raportu dotyczącego stanu realizacji w 2034 roku;</w:t>
            </w:r>
          </w:p>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przygotowanie i wdrażanie przedsięwzięć rewitalizacyjnych</w:t>
            </w:r>
          </w:p>
        </w:tc>
      </w:tr>
      <w:tr>
        <w:trPr/>
        <w:tc>
          <w:tcPr>
            <w:tcW w:w="1696" w:type="dxa"/>
            <w:vMerge w:val="continue"/>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center"/>
              <w:rPr>
                <w:rFonts w:ascii="Aptos" w:hAnsi="Aptos" w:eastAsia="Aptos"/>
              </w:rPr>
            </w:pPr>
            <w:r>
              <w:rPr>
                <w:rFonts w:eastAsia="Aptos" w:cs="" w:ascii="Aptos" w:hAnsi="Aptos"/>
                <w:b/>
                <w:bCs/>
                <w:kern w:val="2"/>
                <w:sz w:val="22"/>
                <w:szCs w:val="22"/>
                <w:lang w:val="pl-PL" w:eastAsia="en-US" w:bidi="ar-SA"/>
              </w:rPr>
            </w:r>
          </w:p>
        </w:tc>
        <w:tc>
          <w:tcPr>
            <w:tcW w:w="1985" w:type="dxa"/>
            <w:tcBorders/>
          </w:tcPr>
          <w:p>
            <w:pPr>
              <w:pStyle w:val="Normal"/>
              <w:widowControl w:val="false"/>
              <w:suppressAutoHyphens w:val="true"/>
              <w:spacing w:before="0" w:after="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zakończenie wdrażania przedsięwzięć rewitalizacyjnych</w:t>
            </w:r>
          </w:p>
        </w:tc>
      </w:tr>
      <w:tr>
        <w:trPr/>
        <w:tc>
          <w:tcPr>
            <w:tcW w:w="1696"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center"/>
              <w:rPr>
                <w:rFonts w:ascii="Aptos" w:hAnsi="Aptos" w:eastAsia="Aptos"/>
              </w:rPr>
            </w:pPr>
            <w:r>
              <w:rPr>
                <w:rFonts w:eastAsia="Aptos" w:cs="" w:ascii="Aptos" w:hAnsi="Aptos"/>
                <w:b/>
                <w:bCs/>
                <w:kern w:val="2"/>
                <w:sz w:val="22"/>
                <w:szCs w:val="22"/>
                <w:lang w:val="pl-PL" w:eastAsia="en-US" w:bidi="ar-SA"/>
              </w:rPr>
              <w:t>2036</w:t>
            </w:r>
          </w:p>
        </w:tc>
        <w:tc>
          <w:tcPr>
            <w:tcW w:w="1985" w:type="dxa"/>
            <w:tcBorders/>
          </w:tcPr>
          <w:p>
            <w:pPr>
              <w:pStyle w:val="Normal"/>
              <w:widowControl w:val="false"/>
              <w:suppressAutoHyphens w:val="true"/>
              <w:spacing w:before="0" w:after="0"/>
              <w:jc w:val="center"/>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I połowa roku</w:t>
            </w:r>
          </w:p>
        </w:tc>
        <w:tc>
          <w:tcPr>
            <w:tcW w:w="5386" w:type="dxa"/>
            <w:tcBorders/>
          </w:tcPr>
          <w:p>
            <w:pPr>
              <w:pStyle w:val="NoSpacing"/>
              <w:widowControl w:val="false"/>
              <w:suppressAutoHyphens w:val="true"/>
              <w:spacing w:before="120" w:after="120"/>
              <w:jc w:val="start"/>
              <w:cnfStyle w:val="000000000000" w:firstRow="0" w:lastRow="0" w:firstColumn="0" w:lastColumn="0" w:oddVBand="0" w:evenVBand="0" w:oddHBand="0" w:evenHBand="0" w:firstRowFirstColumn="0" w:firstRowLastColumn="0" w:lastRowFirstColumn="0" w:lastRowLastColumn="0"/>
              <w:rPr>
                <w:rFonts w:ascii="Aptos" w:hAnsi="Aptos" w:eastAsia="Aptos"/>
              </w:rPr>
            </w:pPr>
            <w:r>
              <w:rPr>
                <w:rFonts w:eastAsia="Aptos" w:cs="" w:ascii="Aptos" w:hAnsi="Aptos"/>
                <w:kern w:val="2"/>
                <w:sz w:val="22"/>
                <w:szCs w:val="22"/>
                <w:lang w:val="pl-PL" w:eastAsia="en-US" w:bidi="ar-SA"/>
              </w:rPr>
              <w:t xml:space="preserve">ocena osiągniętych efektów </w:t>
            </w:r>
            <w:r>
              <w:rPr>
                <w:rFonts w:eastAsia="Aptos" w:cs="" w:ascii="Aptos" w:hAnsi="Aptos"/>
                <w:i/>
                <w:iCs/>
                <w:kern w:val="2"/>
                <w:sz w:val="22"/>
                <w:szCs w:val="22"/>
                <w:lang w:val="pl-PL" w:eastAsia="en-US" w:bidi="ar-SA"/>
              </w:rPr>
              <w:t>Programu</w:t>
            </w:r>
            <w:r>
              <w:rPr>
                <w:rFonts w:eastAsia="Aptos" w:cs="" w:ascii="Aptos" w:hAnsi="Aptos"/>
                <w:kern w:val="2"/>
                <w:sz w:val="22"/>
                <w:szCs w:val="22"/>
                <w:lang w:val="pl-PL" w:eastAsia="en-US" w:bidi="ar-SA"/>
              </w:rPr>
              <w:t xml:space="preserve"> po zakończeniu jego realizacji</w:t>
            </w:r>
          </w:p>
        </w:tc>
      </w:tr>
    </w:tbl>
    <w:p>
      <w:pPr>
        <w:pStyle w:val="Normal"/>
        <w:rPr/>
      </w:pPr>
      <w:r>
        <w:rPr/>
      </w:r>
    </w:p>
    <w:p>
      <w:pPr>
        <w:pStyle w:val="Heading1"/>
        <w:rPr/>
      </w:pPr>
      <w:bookmarkStart w:id="83" w:name="_Toc216991185"/>
      <w:r>
        <w:rPr/>
        <w:t>10. SPOSÓB ZAPEWNIENIA UDZIAŁU INTERESARIUSZY W PROCESIE REWITALIZACJI</w:t>
      </w:r>
      <w:bookmarkEnd w:id="83"/>
      <w:r>
        <w:rPr/>
        <w:t xml:space="preserve"> </w:t>
      </w:r>
    </w:p>
    <w:p>
      <w:pPr>
        <w:pStyle w:val="Heading2"/>
        <w:rPr/>
      </w:pPr>
      <w:bookmarkStart w:id="84" w:name="_Toc216991186"/>
      <w:r>
        <w:rPr/>
        <w:t>10.1. Współpraca ze stroną społeczną i otoczeniem gospodarczym</w:t>
      </w:r>
      <w:bookmarkEnd w:id="84"/>
    </w:p>
    <w:p>
      <w:pPr>
        <w:pStyle w:val="Normal"/>
        <w:rPr>
          <w:rFonts w:cs="Times New Roman"/>
        </w:rPr>
      </w:pPr>
      <w:r>
        <w:rPr>
          <w:rFonts w:cs="Times New Roman"/>
          <w:i/>
          <w:iCs/>
        </w:rPr>
        <w:t>Gminny Program Rewitalizacji Gminy Nowe Miasteczko do roku 2035</w:t>
      </w:r>
      <w:r>
        <w:rPr/>
        <w:t xml:space="preserve"> </w:t>
      </w:r>
      <w:r>
        <w:rPr>
          <w:rFonts w:cs="Times New Roman"/>
        </w:rPr>
        <w:t>pełni funkcję strategii innego instrumentu terytorialnego, o której mowa w art. 36 ust. 4 ustawy z dnia 28 kwietnia 2022 r. o zasadach realizacji zadań finansowanych ze środków europejskich w perspektywie finansowej 2021-2027. Jednym z elementów realizacji takiej strategii jest konieczność zaangażowania na etapie jej realizacji partnerów społecznych i gospodarczych oraz podmiotów reprezentujących społeczeństwo obywatelskie, podmiotów działających na rzecz ochrony środowiska oraz podmiotów odpowiedzialnych za promowanie włączenia społecznego, praw podstawowych, praw osób niepełnosprawnych, równości płci i niedyskryminacji.</w:t>
      </w:r>
    </w:p>
    <w:p>
      <w:pPr>
        <w:pStyle w:val="Normal"/>
        <w:rPr>
          <w:rFonts w:cs="Times New Roman"/>
        </w:rPr>
      </w:pPr>
      <w:r>
        <w:rPr>
          <w:rFonts w:cs="Times New Roman"/>
        </w:rPr>
        <w:t xml:space="preserve">Podczas prac nad GPR zorganizowano liczne wydarzenia konsultacyjne, a także podejmowano zakrojone na szeroką skalę działania informacyjne, mające na celu włączenie interesariuszy procesu rewitalizacji w prace </w:t>
      </w:r>
      <w:r>
        <w:rPr>
          <w:rFonts w:cs="Times New Roman"/>
          <w:iCs/>
        </w:rPr>
        <w:t>nad</w:t>
      </w:r>
      <w:r>
        <w:rPr>
          <w:rFonts w:cs="Times New Roman"/>
          <w:i/>
          <w:iCs/>
        </w:rPr>
        <w:t xml:space="preserve"> Programem.</w:t>
      </w:r>
      <w:r>
        <w:rPr>
          <w:rFonts w:cs="Times New Roman"/>
        </w:rPr>
        <w:t xml:space="preserve"> Działania te kierowano między innymi do organizacji społecznych oraz innych podmiotów z otoczenia społeczno-gospodarczego. Opisano je szczegółowo w rozdziale 1.3. niniejszego dokumentu pt. „Opis procesu zaangażowania partnerów społeczno-gospodarczych i interesariuszy rewitalizacji na etapie prac nad programem”. </w:t>
      </w:r>
    </w:p>
    <w:p>
      <w:pPr>
        <w:pStyle w:val="Fotografie"/>
        <w:rPr/>
      </w:pPr>
      <w:r>
        <w:rPr/>
      </w:r>
      <w:bookmarkStart w:id="85" w:name="_Toc212187891"/>
      <w:bookmarkStart w:id="86" w:name="_Toc212187891"/>
    </w:p>
    <w:p>
      <w:pPr>
        <w:pStyle w:val="Fotografie"/>
        <w:rPr/>
      </w:pPr>
      <w:r>
        <w:rPr/>
      </w:r>
    </w:p>
    <w:p>
      <w:pPr>
        <w:pStyle w:val="Fotografie"/>
        <w:rPr/>
      </w:pPr>
      <w:bookmarkStart w:id="87" w:name="_Toc216991236"/>
      <w:r>
        <w:rPr/>
        <w:t xml:space="preserve">Fotografia </w:t>
      </w:r>
      <w:r>
        <w:rPr/>
        <w:fldChar w:fldCharType="begin"/>
      </w:r>
      <w:r>
        <w:rPr/>
        <w:instrText xml:space="preserve"> SEQ Fotografia \* ARABIC </w:instrText>
      </w:r>
      <w:r>
        <w:rPr/>
        <w:fldChar w:fldCharType="separate"/>
      </w:r>
      <w:r>
        <w:rPr/>
        <w:t>1</w:t>
      </w:r>
      <w:r>
        <w:rPr/>
        <w:fldChar w:fldCharType="end"/>
      </w:r>
      <w:r>
        <w:rPr/>
        <w:t>9. Angażowanie różnych grup interesariuszy na etapie prac nad GPR – debata oxfordzka z uczniami, spacer badawczy z mieszkańcami</w:t>
      </w:r>
      <w:bookmarkEnd w:id="86"/>
      <w:bookmarkEnd w:id="87"/>
    </w:p>
    <w:p>
      <w:pPr>
        <w:pStyle w:val="Normal"/>
        <w:jc w:val="center"/>
        <w:rPr>
          <w:rFonts w:cs="Times New Roman"/>
        </w:rPr>
      </w:pPr>
      <w:r>
        <w:rPr/>
        <w:drawing>
          <wp:inline distT="0" distB="0" distL="0" distR="0">
            <wp:extent cx="2809875" cy="2107565"/>
            <wp:effectExtent l="0" t="0" r="0" b="0"/>
            <wp:docPr id="45" name="Obraz31" descr="Obraz zawierający ubrania, obuwie, w pomieszczeniu, ludzie&#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braz31" descr="Obraz zawierający ubrania, obuwie, w pomieszczeniu, ludzie&#10;&#10;Zawartość wygenerowana przez AI może być niepoprawna." title=""/>
                    <pic:cNvPicPr>
                      <a:picLocks noChangeAspect="1" noChangeArrowheads="1"/>
                    </pic:cNvPicPr>
                  </pic:nvPicPr>
                  <pic:blipFill>
                    <a:blip r:embed="rId52"/>
                    <a:stretch>
                      <a:fillRect/>
                    </a:stretch>
                  </pic:blipFill>
                  <pic:spPr bwMode="auto">
                    <a:xfrm>
                      <a:off x="0" y="0"/>
                      <a:ext cx="2809875" cy="2107565"/>
                    </a:xfrm>
                    <a:prstGeom prst="rect">
                      <a:avLst/>
                    </a:prstGeom>
                    <a:noFill/>
                  </pic:spPr>
                </pic:pic>
              </a:graphicData>
            </a:graphic>
          </wp:inline>
        </w:drawing>
      </w:r>
      <w:r>
        <w:rPr>
          <w:rFonts w:cs="Times New Roman"/>
        </w:rPr>
        <w:t xml:space="preserve"> </w:t>
      </w:r>
      <w:r>
        <w:rPr/>
        <w:drawing>
          <wp:inline distT="0" distB="0" distL="0" distR="0">
            <wp:extent cx="2821940" cy="2116455"/>
            <wp:effectExtent l="0" t="0" r="0" b="0"/>
            <wp:docPr id="46" name="Obraz32" descr="Obraz zawierający na wolnym powietrzu, ubrania, niebo, osoba&#10;&#10;Zawartość wygenerowana przez AI może być niepoprawna."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az32" descr="Obraz zawierający na wolnym powietrzu, ubrania, niebo, osoba&#10;&#10;Zawartość wygenerowana przez AI może być niepoprawna." title=""/>
                    <pic:cNvPicPr>
                      <a:picLocks noChangeAspect="1" noChangeArrowheads="1"/>
                    </pic:cNvPicPr>
                  </pic:nvPicPr>
                  <pic:blipFill>
                    <a:blip r:embed="rId53"/>
                    <a:stretch>
                      <a:fillRect/>
                    </a:stretch>
                  </pic:blipFill>
                  <pic:spPr bwMode="auto">
                    <a:xfrm>
                      <a:off x="0" y="0"/>
                      <a:ext cx="2821940" cy="2116455"/>
                    </a:xfrm>
                    <a:prstGeom prst="rect">
                      <a:avLst/>
                    </a:prstGeom>
                    <a:noFill/>
                  </pic:spPr>
                </pic:pic>
              </a:graphicData>
            </a:graphic>
          </wp:inline>
        </w:drawing>
      </w:r>
    </w:p>
    <w:p>
      <w:pPr>
        <w:pStyle w:val="Normal"/>
        <w:rPr>
          <w:rFonts w:cs="Times New Roman"/>
        </w:rPr>
      </w:pPr>
      <w:r>
        <w:rPr>
          <w:rFonts w:cs="Times New Roman"/>
        </w:rPr>
        <w:t xml:space="preserve">Podczas wdrażania GPR planuje się włączanie w realizację przedsięwzięć wynikających z treści GPR organizacji społecznych, biznesu, a także innych podmiotów. Wynika to wprost zarówno z celów rewitalizacji w Gminie Nowe Miasteczko, jak i z treści i zakresu wielu przedsięwzięć rewitalizacyjnych. </w:t>
      </w:r>
    </w:p>
    <w:p>
      <w:pPr>
        <w:pStyle w:val="Normal"/>
        <w:rPr/>
      </w:pPr>
      <w:r>
        <w:rPr>
          <w:rFonts w:cs="Times New Roman"/>
        </w:rPr>
        <w:t>Z</w:t>
      </w:r>
      <w:r>
        <w:rPr/>
        <w:t xml:space="preserve">naczenie partycypacji społecznej w GPR potwierdza charakterystyka kilku przedsięwzięć (np. </w:t>
      </w:r>
      <w:r>
        <w:rPr>
          <w:i/>
          <w:iCs/>
        </w:rPr>
        <w:t>Nasze miasteczko, nasza rewitalizacja</w:t>
      </w:r>
      <w:r>
        <w:rPr/>
        <w:t xml:space="preserve">), w których zakłada się zwiększenie wpływu lokalnej społeczności, w tym organizacji społecznych i ich wpływu na proces i obszar rewitalizacji. Niektóre przedsięwzięcia wprost bazują na zaangażowaniu interesariuszy w projektowanie przekształceń obszaru rewitalizacji, np. </w:t>
      </w:r>
      <w:r>
        <w:rPr>
          <w:i/>
          <w:iCs/>
        </w:rPr>
        <w:t>Młodzi u siebie – utworzenie, wyposażenie i zaprojektowanie oferty miejsca spotkań i aktywności młodzieży</w:t>
      </w:r>
      <w:r>
        <w:rPr/>
        <w:t>.</w:t>
      </w:r>
    </w:p>
    <w:p>
      <w:pPr>
        <w:pStyle w:val="Normal"/>
        <w:rPr/>
      </w:pPr>
      <w:r>
        <w:rPr/>
        <w:t>Planuje się ponadto w ramach realizacji GPR zwiększanie wysiłków na rzecz angażowania mieszkańców i budowania świadomości („awareness”) o procesie rewitalizacji. Służyć temu będzie m.in. częsta obecność koordynatora ds. rewitalizacji w różnych miejscach istotnych dla lokalnej społeczności i dla osiągania celów GPR, a także jego stała dostępność dla mieszkańców obszaru rewitalizacji i gotowość do dyskusji na tematy związane z rewitalizacją.</w:t>
      </w:r>
    </w:p>
    <w:p>
      <w:pPr>
        <w:pStyle w:val="Normal"/>
        <w:rPr/>
      </w:pPr>
      <w:r>
        <w:rPr/>
        <w:t>W ramach ciągłego i wygodnego informowania interesariuszy o procesie rewitalizacji w Gminie Nowe Miasteczko, w tym o przedsięwzięciach, planach, raportach itd., kontynuowane będzie prowadzenie zakładki „Rewitalizacja” na stronie internetowej Urzędu Miejskiego, a także wykorzystywany będzie profil „Gmina Nowe Miasteczko” na Facebooku. Narzędzia te – uruchomione już na etapie prac nad GPR – służą nie tylko informacji o procesie rewitalizacji, ale też do angażowania różnych grup interesariuszy i poszczególnych osób i instytucji w toku realizacji programu.</w:t>
      </w:r>
    </w:p>
    <w:p>
      <w:pPr>
        <w:pStyle w:val="Normal"/>
        <w:rPr/>
      </w:pPr>
      <w:r>
        <w:rPr/>
        <w:t>Dodatkowo, elementem zarówno informującym, jak i zachęcającym mieszkańców do zainteresowania się rewitalizacją, będzie cotrzyletnie badanie społeczne, stanowiące element systemu monitorowania i oceny programu rewitalizacji.</w:t>
      </w:r>
    </w:p>
    <w:p>
      <w:pPr>
        <w:pStyle w:val="Normal"/>
        <w:rPr/>
      </w:pPr>
      <w:r>
        <w:rPr/>
      </w:r>
    </w:p>
    <w:p>
      <w:pPr>
        <w:pStyle w:val="Heading2"/>
        <w:rPr/>
      </w:pPr>
      <w:bookmarkStart w:id="88" w:name="_Toc216991187"/>
      <w:r>
        <w:rPr/>
        <w:t>10.2. Komitet Rewitalizacji</w:t>
      </w:r>
      <w:bookmarkEnd w:id="88"/>
    </w:p>
    <w:p>
      <w:pPr>
        <w:pStyle w:val="Normal"/>
        <w:rPr>
          <w:rFonts w:cs="Times New Roman"/>
        </w:rPr>
      </w:pPr>
      <w:r>
        <w:rPr>
          <w:rFonts w:cs="Times New Roman"/>
        </w:rPr>
        <w:t xml:space="preserve">Zgodnie z przepisami ustawy o rewitalizacji kluczową formą zaangażowania wskazanych wyżej partnerów będzie Komitet Rewitalizacji. Jest to organ opiniodawczo-doradczy Burmistrza Gminy i Miasta Nowe Miasteczko, stanowiący forum współpracy i dialogu interesariuszy procesu rewitalizacji z odpowiedzialnymi za koordynację tego procesu organami gminy w sprawach dotyczących przygotowania, prowadzenia i oceny rewitalizacji. </w:t>
      </w:r>
    </w:p>
    <w:p>
      <w:pPr>
        <w:pStyle w:val="Normal"/>
        <w:rPr>
          <w:rFonts w:cs="Times New Roman"/>
        </w:rPr>
      </w:pPr>
      <w:r>
        <w:rPr>
          <w:rFonts w:cs="Times New Roman"/>
        </w:rPr>
        <w:t xml:space="preserve">Komitet Rewitalizacji zajmuje stanowiska dotyczące kluczowych etapów procesu rewitalizacji. Należą do nich opiniowanie oceny aktualności i stopnia realizacji GPR oraz opiniowanie projektu </w:t>
      </w:r>
      <w:r>
        <w:rPr>
          <w:rFonts w:cs="Times New Roman"/>
          <w:i/>
          <w:iCs/>
        </w:rPr>
        <w:t>Programu</w:t>
      </w:r>
      <w:r>
        <w:rPr>
          <w:rFonts w:cs="Times New Roman"/>
        </w:rPr>
        <w:t xml:space="preserve"> lub jego zmiany. Zgodnie z art. 7 ust. 3 ustawy o rewitalizacji zasady wyznaczania składu oraz zasady działania Komitetu Rewitalizacji określa w drodze uchwały Rada Miejska w Nowym Miasteczku, zapewniając wyłanianie interesariuszy przez ich przedstawicieli. </w:t>
      </w:r>
    </w:p>
    <w:p>
      <w:pPr>
        <w:pStyle w:val="Normal"/>
        <w:rPr>
          <w:rFonts w:cs="Times New Roman"/>
        </w:rPr>
      </w:pPr>
      <w:r>
        <w:rPr>
          <w:rFonts w:cs="Times New Roman"/>
        </w:rPr>
        <w:t>W celu osiągnięcia efektywnej współpracy z Komitetem Rewitalizacji oparto ją na następujących zasadach:</w:t>
      </w:r>
    </w:p>
    <w:p>
      <w:pPr>
        <w:pStyle w:val="Normal"/>
        <w:rPr>
          <w:rFonts w:cs="Times New Roman"/>
        </w:rPr>
      </w:pPr>
      <w:r>
        <w:rPr>
          <w:rFonts w:cs="Times New Roman"/>
        </w:rPr>
        <w:t>1. Komitet będzie reprezentować różne grupy interesariuszy procesu rewitalizacji, w szczególności wymienione w ustawie o rewitalizacji, zmierzając jednocześnie do samodzielnego wyłaniania interesariuszy spośród ich przedstawicieli.</w:t>
      </w:r>
    </w:p>
    <w:p>
      <w:pPr>
        <w:pStyle w:val="Normal"/>
        <w:rPr>
          <w:rFonts w:cs="Times New Roman"/>
        </w:rPr>
      </w:pPr>
      <w:r>
        <w:rPr>
          <w:rFonts w:cs="Times New Roman"/>
        </w:rPr>
        <w:t xml:space="preserve">2. W skład Komitetu wejdą przedstawiciele grup i zespołów o charakterze doradczym, konsultacyjnym i inicjatywnym, reprezentujących m.in. środowiska seniorów, młodzieży itd. </w:t>
      </w:r>
    </w:p>
    <w:p>
      <w:pPr>
        <w:pStyle w:val="Normal"/>
        <w:rPr>
          <w:rFonts w:cs="Times New Roman"/>
        </w:rPr>
      </w:pPr>
      <w:r>
        <w:rPr>
          <w:rFonts w:cs="Times New Roman"/>
        </w:rPr>
        <w:t>3. Współpraca z Komitetem będzie opierać się na wzajemnej otwartości w celu stworzenia jak najlepszych warunków do swobodnego podejmowania przez Komitet własnych inicjatyw dotyczących wspierania procesu rewitalizacji.</w:t>
      </w:r>
    </w:p>
    <w:p>
      <w:pPr>
        <w:pStyle w:val="Normal"/>
        <w:rPr/>
      </w:pPr>
      <w:r>
        <w:rPr>
          <w:rFonts w:cs="Times New Roman"/>
        </w:rPr>
        <w:t>Powyższe kierunki stanowić będą punkt wyjścia dla opracowania lub ewentualnych aktualizacji uchwały w sprawie zasad wyznaczania składu oraz zasad działania Komitetu Rewitalizacji.</w:t>
      </w:r>
    </w:p>
    <w:p>
      <w:pPr>
        <w:pStyle w:val="Heading1"/>
        <w:spacing w:before="0" w:after="80"/>
        <w:rPr/>
      </w:pPr>
      <w:bookmarkStart w:id="89" w:name="_Toc216991188"/>
      <w:r>
        <w:rPr/>
        <w:t>11. SYSTEM MONITOROWANIA I OCENY PROGRAMU</w:t>
      </w:r>
      <w:bookmarkEnd w:id="89"/>
    </w:p>
    <w:p>
      <w:pPr>
        <w:pStyle w:val="Normal"/>
        <w:rPr/>
      </w:pPr>
      <w:r>
        <w:rPr/>
        <w:t xml:space="preserve">Wdrażanie GPR następuje poprzez działania wielu podmiotów i instytucji, które realizują zadania w sferach: społecznej, przestrzenno-funkcjonalnej, technicznej, środowiskowej i gospodarczej. Kompleksowy charakter GPR powoduje, że jego realizacja musi być stale analizowana przez Zespół ds. Rewitalizacji, przy udziale wiedzy i zaangażowania interesariuszy procesu rewitalizacji w Gminie Nowe Miasteczko. Konieczna jest zarówno analiza bieżącej realizacji przedsięwzięć rewitalizacyjnych, jak i szersza ocena skutków i efektów procesu rewitalizacji. </w:t>
      </w:r>
    </w:p>
    <w:p>
      <w:pPr>
        <w:pStyle w:val="Normal"/>
        <w:rPr/>
      </w:pPr>
      <w:r>
        <w:rPr/>
        <w:t xml:space="preserve">Zgodnie z art. 15 ust. 1 pkt 9 ustawy o rewitalizacji w GPR konieczne jest ustanowienie systemu monitorowania i oceny </w:t>
      </w:r>
      <w:r>
        <w:rPr>
          <w:i/>
          <w:iCs/>
        </w:rPr>
        <w:t>Programu</w:t>
      </w:r>
      <w:r>
        <w:rPr/>
        <w:t xml:space="preserve">. Celem tego systemu jest stworzenie skutecznego mechanizmu reakcji na przebieg realizacji </w:t>
      </w:r>
      <w:r>
        <w:rPr>
          <w:i/>
          <w:iCs/>
        </w:rPr>
        <w:t>Programu</w:t>
      </w:r>
      <w:r>
        <w:rPr/>
        <w:t xml:space="preserve"> (który może odbiegać od założeń) oraz wprowadzania ewentualnych zmian do </w:t>
      </w:r>
      <w:r>
        <w:rPr>
          <w:i/>
          <w:iCs/>
        </w:rPr>
        <w:t>Programu</w:t>
      </w:r>
      <w:r>
        <w:rPr/>
        <w:t xml:space="preserve"> w trakcie jego realizacji. Ponadto, sprawnie funkcjonujący system monitoringu i oceny GPR pozytywnie przekłada się na sposób zarządzania </w:t>
      </w:r>
      <w:r>
        <w:rPr>
          <w:i/>
          <w:iCs/>
        </w:rPr>
        <w:t>Programem</w:t>
      </w:r>
      <w:r>
        <w:rPr/>
        <w:t>, wzmacnianie poczucia partnerstwa i współwłasności dokumentu wśród interesariuszy, a także na przepływ informacji pomiędzy realizatorami przedsięwzięć rewitalizacyjnych, a osobami i instytucjami zainteresowanymi przebiegiem procesu rewitalizacji w Gminie Nowe Miasteczko.</w:t>
      </w:r>
    </w:p>
    <w:p>
      <w:pPr>
        <w:pStyle w:val="Normal"/>
        <w:rPr/>
      </w:pPr>
      <w:r>
        <w:rPr/>
        <w:t xml:space="preserve">System monitorowania i oceny GPR składa się z dwóch podstawowych elementów. Pierwszym z nich jest monitorowanie postępów realizacji </w:t>
      </w:r>
      <w:r>
        <w:rPr>
          <w:i/>
          <w:iCs/>
        </w:rPr>
        <w:t>Programu</w:t>
      </w:r>
      <w:r>
        <w:rPr/>
        <w:t xml:space="preserve">, które odbywa się poprzez raportowanie bezpośrednich rezultatów przedsięwzięć i jest prowadzone w odniesieniu do zapisów dotyczących ram finansowych i harmonogramów. Drugim elementem jest natomiast ocena stopnia osiągania zakładanych celów procesu rewitalizacji, które realizowane są poprzez kierunki działań oraz poszczególne przedsięwzięcia rewitalizacyjne. Ocena trafności i skuteczności przedsięwzięć rewitalizacyjnych często wymaga rozłożonej w czasie obserwacji, dlatego też ocena stopnia osiągania zakładanych celów GPR jest prowadzona z mniejszą częstotliwością niż monitorowanie bieżących postępów we wdrażaniu </w:t>
      </w:r>
      <w:r>
        <w:rPr>
          <w:i/>
          <w:iCs/>
        </w:rPr>
        <w:t>Programu</w:t>
      </w:r>
      <w:r>
        <w:rPr/>
        <w:t xml:space="preserve">. </w:t>
      </w:r>
    </w:p>
    <w:p>
      <w:pPr>
        <w:pStyle w:val="Normal"/>
        <w:rPr/>
      </w:pPr>
      <w:r>
        <w:rPr/>
        <w:t xml:space="preserve">W Gminie Nowe Miasteczko monitoring GPR będzie prowadzony w cyklu rocznym, a ocena stopnia osiągania zakładanych celów procesu rewitalizacji i ogólnej aktualności </w:t>
      </w:r>
      <w:r>
        <w:rPr>
          <w:i/>
          <w:iCs/>
        </w:rPr>
        <w:t xml:space="preserve">Programu – </w:t>
      </w:r>
      <w:r>
        <w:rPr/>
        <w:t>raz na 3 lata. Ustalenia w tym zakresie są zgodne z wytycznymi wynikającymi z przepisów ustawy o rewitalizacji.</w:t>
      </w:r>
    </w:p>
    <w:p>
      <w:pPr>
        <w:pStyle w:val="Normal"/>
        <w:rPr/>
      </w:pPr>
      <w:r>
        <w:rPr/>
      </w:r>
    </w:p>
    <w:p>
      <w:pPr>
        <w:pStyle w:val="Heading2"/>
        <w:rPr/>
      </w:pPr>
      <w:bookmarkStart w:id="90" w:name="_Toc216991189"/>
      <w:r>
        <w:rPr/>
        <w:t>11.1. Monitorowanie postępów realizacji programu</w:t>
      </w:r>
      <w:bookmarkEnd w:id="90"/>
    </w:p>
    <w:p>
      <w:pPr>
        <w:pStyle w:val="Normal"/>
        <w:rPr/>
      </w:pPr>
      <w:r>
        <w:rPr/>
        <w:t xml:space="preserve">Monitorowanie postępów realizacji ma na celu bieżące śledzenie wdrażania </w:t>
      </w:r>
      <w:r>
        <w:rPr>
          <w:i/>
          <w:iCs/>
        </w:rPr>
        <w:t>Programu</w:t>
      </w:r>
      <w:r>
        <w:rPr/>
        <w:t>, a w efekcie stworzenie sprawnego systemu realizacji jego najważniejszych postanowień. Wykorzystywanym w tym celu narzędziem będą sporządzane każdego roku raporty dotyczące stanu realizacji GPR. Prace nad rocznymi raportami będą w możliwie szerokim zakresie opierać się na innych działaniach sprawozdawczych podejmowanych przez Gminę Nowe Miasteczko.</w:t>
      </w:r>
    </w:p>
    <w:p>
      <w:pPr>
        <w:pStyle w:val="Normal"/>
        <w:rPr/>
      </w:pPr>
      <w:r>
        <w:rPr/>
        <w:t>Raport sporządzany będzie za rok poprzedni, po przedstawieniu przez Burmistrza Gminy i Miasta Nowe Miasteczko rocznego sprawozdania z wykonania budżetu Gminy Nowe Miasteczko. Każdego roku raport roczny będzie następnie przedkładany przez Burmistrza Komitetowi Rewitalizacji.</w:t>
      </w:r>
    </w:p>
    <w:p>
      <w:pPr>
        <w:pStyle w:val="Normal"/>
        <w:rPr/>
      </w:pPr>
      <w:r>
        <w:rPr/>
        <w:t xml:space="preserve">Podstawowym celem raportu będzie zebranie i usystematyzowanie informacji dotyczących postępów w realizacji GPR. Zostaną one następnie wykorzystanie do opracowania </w:t>
      </w:r>
      <w:r>
        <w:rPr>
          <w:i/>
          <w:iCs/>
        </w:rPr>
        <w:t>Raportu o stanie Gminy Nowe Miasteczko</w:t>
      </w:r>
      <w:r>
        <w:rPr/>
        <w:t xml:space="preserve">, który co roku jest sporządzany na podstawie art. 28aa ustawy z dnia 8 marca 1990 roku o samorządzie gminnym oraz przedkładany Radzie Miejskiej. Dane zebrane w ramach raportu zostaną również wykorzystanie do udziału w obowiązkowym badaniu dotyczącym procesu rewitalizacji w gminach prowadzonym przez Główny Urząd Statystyczny w ramach systemu statystyki publicznej. </w:t>
      </w:r>
    </w:p>
    <w:p>
      <w:pPr>
        <w:pStyle w:val="Normal"/>
        <w:rPr/>
      </w:pPr>
      <w:r>
        <w:rPr/>
        <w:t xml:space="preserve">Raport obejmie najważniejsze informacje dotyczące postępów realizacji przedsięwzięć rewitalizacyjnych ujętych w GPR. Znajdą się w nim odniesienia do ram czasowych oraz finansowych przedsięwzięć, które zostały zidentyfikowane w </w:t>
      </w:r>
      <w:r>
        <w:rPr>
          <w:i/>
          <w:iCs/>
        </w:rPr>
        <w:t>Programie</w:t>
      </w:r>
      <w:r>
        <w:rPr/>
        <w:t xml:space="preserve">. Jeżeli zajdzie taka potrzeba, w raporcie znajdą się informacje o kolejnych etapach przedsięwzięć. W raporcie będą też dostępne zwięzłe, hasłowe informacje na temat aktualnego statusu realizacji przedsięwzięć (np. „w trakcie realizacji”, „zakończono realizację”). </w:t>
      </w:r>
    </w:p>
    <w:p>
      <w:pPr>
        <w:pStyle w:val="Normal"/>
        <w:rPr/>
      </w:pPr>
      <w:r>
        <w:rPr/>
        <w:t>Ważnym elementem corocznych raportów będzie bieżąca ocena i analiza osiąganych wskaźników. Poniżej zaprezentowano przykładowy, możliwy do rozbudowania zestaw takich wskaźników. Przy opracowaniu przykładowego zestawu wskaźników wykorzystano informacje zawarte w opisach podstawowych przedsięwzięć rewitalizacyjnych odnośnie do sposobu oceny ich rezultatów. Liczba wskaźników przyporządkowanych do kolejnych celów odzwierciedla też charakter przedsięwzięć rewitalizacyjnych, które w pierwszej kolejności mają się koncentrować na rozwiązywaniu problemów społecznych na obszarze rewitalizacji. Przy doborze wskaźników uwzględniono też doświadczenia z prac nad wyznaczeniem granic obszaru rewitalizacji w Gminie Nowe Miasteczko.</w:t>
      </w:r>
    </w:p>
    <w:p>
      <w:pPr>
        <w:pStyle w:val="Tabele"/>
        <w:jc w:val="center"/>
        <w:rPr/>
      </w:pPr>
      <w:bookmarkStart w:id="91" w:name="_Toc216991209"/>
      <w:bookmarkStart w:id="92" w:name="_Toc155206928"/>
      <w:bookmarkStart w:id="93" w:name="_Toc196596440"/>
      <w:bookmarkStart w:id="94" w:name="_Toc212187923"/>
      <w:r>
        <w:rPr/>
        <w:t>Tabela 7. Lista wskaźników wykorzystywanych do rocznej oceny stanu realizacji G</w:t>
      </w:r>
      <w:bookmarkEnd w:id="92"/>
      <w:bookmarkEnd w:id="93"/>
      <w:bookmarkEnd w:id="94"/>
      <w:r>
        <w:rPr/>
        <w:t>PR</w:t>
      </w:r>
      <w:bookmarkEnd w:id="91"/>
    </w:p>
    <w:tbl>
      <w:tblPr>
        <w:tblStyle w:val="Tabela-Siatka"/>
        <w:tblW w:w="9067"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2157"/>
        <w:gridCol w:w="2657"/>
        <w:gridCol w:w="1988"/>
        <w:gridCol w:w="2264"/>
      </w:tblGrid>
      <w:tr>
        <w:trPr/>
        <w:tc>
          <w:tcPr>
            <w:tcW w:w="2157" w:type="dxa"/>
            <w:tcBorders/>
          </w:tcPr>
          <w:p>
            <w:pPr>
              <w:pStyle w:val="Normal"/>
              <w:widowControl w:val="false"/>
              <w:suppressAutoHyphens w:val="true"/>
              <w:spacing w:lineRule="auto" w:line="240" w:before="60" w:after="60"/>
              <w:jc w:val="center"/>
              <w:rPr>
                <w:rFonts w:cs="Arial"/>
                <w:b/>
                <w:bCs/>
              </w:rPr>
            </w:pPr>
            <w:r>
              <w:rPr>
                <w:rFonts w:eastAsia="Aptos" w:cs="Arial"/>
                <w:b/>
                <w:bCs/>
                <w:kern w:val="0"/>
                <w:sz w:val="22"/>
                <w:szCs w:val="22"/>
                <w:lang w:val="pl-PL" w:eastAsia="en-US" w:bidi="ar-SA"/>
              </w:rPr>
              <w:t>Nazwa wskaźnika</w:t>
            </w:r>
          </w:p>
        </w:tc>
        <w:tc>
          <w:tcPr>
            <w:tcW w:w="2657" w:type="dxa"/>
            <w:tcBorders/>
          </w:tcPr>
          <w:p>
            <w:pPr>
              <w:pStyle w:val="Normal"/>
              <w:widowControl w:val="false"/>
              <w:suppressAutoHyphens w:val="true"/>
              <w:spacing w:lineRule="auto" w:line="240" w:before="60" w:after="60"/>
              <w:jc w:val="center"/>
              <w:rPr>
                <w:rFonts w:cs="Arial"/>
                <w:b/>
                <w:bCs/>
              </w:rPr>
            </w:pPr>
            <w:r>
              <w:rPr>
                <w:rFonts w:eastAsia="Aptos" w:cs="Arial"/>
                <w:b/>
                <w:bCs/>
                <w:kern w:val="0"/>
                <w:sz w:val="22"/>
                <w:szCs w:val="22"/>
                <w:lang w:val="pl-PL" w:eastAsia="en-US" w:bidi="ar-SA"/>
              </w:rPr>
              <w:t>Oczekiwany</w:t>
            </w:r>
          </w:p>
          <w:p>
            <w:pPr>
              <w:pStyle w:val="Normal"/>
              <w:widowControl w:val="false"/>
              <w:suppressAutoHyphens w:val="true"/>
              <w:spacing w:lineRule="auto" w:line="240" w:before="60" w:after="60"/>
              <w:jc w:val="center"/>
              <w:rPr>
                <w:rFonts w:cs="Arial"/>
                <w:b/>
                <w:bCs/>
              </w:rPr>
            </w:pPr>
            <w:r>
              <w:rPr>
                <w:rFonts w:eastAsia="Aptos" w:cs="Arial"/>
                <w:b/>
                <w:bCs/>
                <w:kern w:val="0"/>
                <w:sz w:val="22"/>
                <w:szCs w:val="22"/>
                <w:lang w:val="pl-PL" w:eastAsia="en-US" w:bidi="ar-SA"/>
              </w:rPr>
              <w:t>kierunek</w:t>
            </w:r>
          </w:p>
          <w:p>
            <w:pPr>
              <w:pStyle w:val="Normal"/>
              <w:widowControl w:val="false"/>
              <w:suppressAutoHyphens w:val="true"/>
              <w:spacing w:lineRule="auto" w:line="240" w:before="60" w:after="60"/>
              <w:jc w:val="center"/>
              <w:rPr>
                <w:rFonts w:cs="Arial"/>
                <w:b/>
                <w:bCs/>
              </w:rPr>
            </w:pPr>
            <w:r>
              <w:rPr>
                <w:rFonts w:eastAsia="Aptos" w:cs="Arial"/>
                <w:b/>
                <w:bCs/>
                <w:kern w:val="0"/>
                <w:sz w:val="22"/>
                <w:szCs w:val="22"/>
                <w:lang w:val="pl-PL" w:eastAsia="en-US" w:bidi="ar-SA"/>
              </w:rPr>
              <w:t>oddziaływania</w:t>
            </w:r>
          </w:p>
        </w:tc>
        <w:tc>
          <w:tcPr>
            <w:tcW w:w="1988" w:type="dxa"/>
            <w:tcBorders/>
          </w:tcPr>
          <w:p>
            <w:pPr>
              <w:pStyle w:val="Normal"/>
              <w:widowControl w:val="false"/>
              <w:suppressAutoHyphens w:val="true"/>
              <w:spacing w:lineRule="auto" w:line="240" w:before="60" w:after="60"/>
              <w:jc w:val="center"/>
              <w:rPr>
                <w:rFonts w:cs="Arial"/>
                <w:b/>
                <w:bCs/>
              </w:rPr>
            </w:pPr>
            <w:r>
              <w:rPr>
                <w:rFonts w:eastAsia="Aptos" w:cs="Arial"/>
                <w:b/>
                <w:bCs/>
                <w:kern w:val="0"/>
                <w:sz w:val="22"/>
                <w:szCs w:val="22"/>
                <w:lang w:val="pl-PL" w:eastAsia="en-US" w:bidi="ar-SA"/>
              </w:rPr>
              <w:t>Wartość</w:t>
            </w:r>
          </w:p>
          <w:p>
            <w:pPr>
              <w:pStyle w:val="Normal"/>
              <w:widowControl w:val="false"/>
              <w:suppressAutoHyphens w:val="true"/>
              <w:spacing w:lineRule="auto" w:line="240" w:before="60" w:after="60"/>
              <w:jc w:val="center"/>
              <w:rPr>
                <w:rFonts w:cs="Arial"/>
                <w:b/>
                <w:bCs/>
              </w:rPr>
            </w:pPr>
            <w:r>
              <w:rPr>
                <w:rFonts w:eastAsia="Aptos" w:cs="Arial"/>
                <w:b/>
                <w:bCs/>
                <w:kern w:val="0"/>
                <w:sz w:val="22"/>
                <w:szCs w:val="22"/>
                <w:lang w:val="pl-PL" w:eastAsia="en-US" w:bidi="ar-SA"/>
              </w:rPr>
              <w:t>Bazowa</w:t>
            </w:r>
          </w:p>
        </w:tc>
        <w:tc>
          <w:tcPr>
            <w:tcW w:w="2264" w:type="dxa"/>
            <w:tcBorders/>
          </w:tcPr>
          <w:p>
            <w:pPr>
              <w:pStyle w:val="Normal"/>
              <w:widowControl w:val="false"/>
              <w:suppressAutoHyphens w:val="true"/>
              <w:spacing w:lineRule="auto" w:line="240" w:before="60" w:after="60"/>
              <w:jc w:val="center"/>
              <w:rPr>
                <w:rFonts w:cs="Arial"/>
                <w:b/>
                <w:bCs/>
              </w:rPr>
            </w:pPr>
            <w:r>
              <w:rPr>
                <w:rFonts w:eastAsia="Aptos" w:cs="Arial"/>
                <w:b/>
                <w:bCs/>
                <w:kern w:val="0"/>
                <w:sz w:val="22"/>
                <w:szCs w:val="22"/>
                <w:lang w:val="pl-PL" w:eastAsia="en-US" w:bidi="ar-SA"/>
              </w:rPr>
              <w:t>Miernik</w:t>
            </w:r>
          </w:p>
          <w:p>
            <w:pPr>
              <w:pStyle w:val="Normal"/>
              <w:widowControl w:val="false"/>
              <w:suppressAutoHyphens w:val="true"/>
              <w:spacing w:lineRule="auto" w:line="240" w:before="60" w:after="60"/>
              <w:jc w:val="center"/>
              <w:rPr>
                <w:rFonts w:cs="Arial"/>
                <w:b/>
                <w:bCs/>
              </w:rPr>
            </w:pPr>
            <w:r>
              <w:rPr>
                <w:rFonts w:eastAsia="Aptos" w:cs="Arial"/>
                <w:b/>
                <w:bCs/>
                <w:kern w:val="0"/>
                <w:sz w:val="22"/>
                <w:szCs w:val="22"/>
                <w:lang w:val="pl-PL" w:eastAsia="en-US" w:bidi="ar-SA"/>
              </w:rPr>
              <w:t>osiągnięcia celu</w:t>
            </w:r>
          </w:p>
          <w:p>
            <w:pPr>
              <w:pStyle w:val="Normal"/>
              <w:widowControl w:val="false"/>
              <w:suppressAutoHyphens w:val="true"/>
              <w:spacing w:lineRule="auto" w:line="240" w:before="60" w:after="60"/>
              <w:jc w:val="center"/>
              <w:rPr>
                <w:rFonts w:cs="Arial"/>
                <w:b/>
                <w:bCs/>
              </w:rPr>
            </w:pPr>
            <w:r>
              <w:rPr>
                <w:rFonts w:eastAsia="Aptos" w:cs="Arial"/>
                <w:b/>
                <w:bCs/>
                <w:kern w:val="0"/>
                <w:sz w:val="22"/>
                <w:szCs w:val="22"/>
                <w:lang w:val="pl-PL" w:eastAsia="en-US" w:bidi="ar-SA"/>
              </w:rPr>
              <w:t>(strzałka</w:t>
            </w:r>
          </w:p>
          <w:p>
            <w:pPr>
              <w:pStyle w:val="Normal"/>
              <w:widowControl w:val="false"/>
              <w:suppressAutoHyphens w:val="true"/>
              <w:spacing w:lineRule="auto" w:line="240" w:before="60" w:after="60"/>
              <w:jc w:val="center"/>
              <w:rPr>
                <w:rFonts w:cs="Arial"/>
                <w:b/>
                <w:bCs/>
              </w:rPr>
            </w:pPr>
            <w:r>
              <w:rPr>
                <w:rFonts w:eastAsia="Aptos" w:cs="Arial"/>
                <w:b/>
                <w:bCs/>
                <w:kern w:val="0"/>
                <w:sz w:val="22"/>
                <w:szCs w:val="22"/>
                <w:lang w:val="pl-PL" w:eastAsia="en-US" w:bidi="ar-SA"/>
              </w:rPr>
              <w:t>wskazuje</w:t>
            </w:r>
          </w:p>
          <w:p>
            <w:pPr>
              <w:pStyle w:val="Normal"/>
              <w:widowControl w:val="false"/>
              <w:suppressAutoHyphens w:val="true"/>
              <w:spacing w:lineRule="auto" w:line="240" w:before="60" w:after="60"/>
              <w:jc w:val="center"/>
              <w:rPr>
                <w:rFonts w:cs="Arial"/>
                <w:b/>
                <w:bCs/>
              </w:rPr>
            </w:pPr>
            <w:r>
              <w:rPr>
                <w:rFonts w:eastAsia="Aptos" w:cs="Arial"/>
                <w:b/>
                <w:bCs/>
                <w:kern w:val="0"/>
                <w:sz w:val="22"/>
                <w:szCs w:val="22"/>
                <w:lang w:val="pl-PL" w:eastAsia="en-US" w:bidi="ar-SA"/>
              </w:rPr>
              <w:t>pożądany trend)</w:t>
            </w:r>
          </w:p>
          <w:p>
            <w:pPr>
              <w:pStyle w:val="Normal"/>
              <w:widowControl w:val="false"/>
              <w:suppressAutoHyphens w:val="true"/>
              <w:spacing w:lineRule="auto" w:line="240" w:before="60" w:after="60"/>
              <w:jc w:val="center"/>
              <w:rPr>
                <w:rFonts w:cs="Arial"/>
                <w:b/>
                <w:bCs/>
              </w:rPr>
            </w:pPr>
            <w:r>
              <w:rPr>
                <w:rFonts w:eastAsia="Aptos" w:cs="Arial"/>
                <w:b/>
                <w:bCs/>
                <w:kern w:val="0"/>
                <w:sz w:val="22"/>
                <w:szCs w:val="22"/>
                <w:lang w:val="pl-PL" w:eastAsia="en-US" w:bidi="ar-SA"/>
              </w:rPr>
              <w:t>(2035)</w:t>
            </w:r>
          </w:p>
        </w:tc>
      </w:tr>
      <w:tr>
        <w:trPr/>
        <w:tc>
          <w:tcPr>
            <w:tcW w:w="9066" w:type="dxa"/>
            <w:gridSpan w:val="4"/>
            <w:tcBorders/>
          </w:tcPr>
          <w:p>
            <w:pPr>
              <w:pStyle w:val="Normal"/>
              <w:widowControl w:val="false"/>
              <w:suppressAutoHyphens w:val="true"/>
              <w:spacing w:lineRule="auto" w:line="276" w:before="60" w:after="60"/>
              <w:jc w:val="center"/>
              <w:rPr>
                <w:rFonts w:cs="Arial"/>
                <w:b/>
                <w:bCs/>
                <w:color w:themeColor="accent1" w:val="4472C4"/>
              </w:rPr>
            </w:pPr>
            <w:r>
              <w:rPr>
                <w:rFonts w:eastAsia="Aptos" w:cs="Arial"/>
                <w:b/>
                <w:bCs/>
                <w:color w:themeColor="accent1" w:val="4472C4"/>
                <w:kern w:val="0"/>
                <w:sz w:val="22"/>
                <w:szCs w:val="22"/>
                <w:lang w:val="pl-PL" w:eastAsia="en-US" w:bidi="ar-SA"/>
              </w:rPr>
              <w:t>Cel główny: Obszar rewitalizacji w Gminie Nowe Miasteczko funkcjonalnym, estetycznym i zielonym miejscem przyjaznym do życia i aktywności dla wszystkich grup mieszkańców.</w:t>
            </w:r>
          </w:p>
        </w:tc>
      </w:tr>
      <w:tr>
        <w:trPr/>
        <w:tc>
          <w:tcPr>
            <w:tcW w:w="2157" w:type="dxa"/>
            <w:tcBorders/>
          </w:tcPr>
          <w:p>
            <w:pPr>
              <w:pStyle w:val="Normal"/>
              <w:widowControl w:val="false"/>
              <w:suppressAutoHyphens w:val="true"/>
              <w:spacing w:lineRule="auto" w:line="276" w:before="60" w:after="60"/>
              <w:rPr>
                <w:rFonts w:cs="Arial"/>
                <w:b/>
                <w:bCs/>
              </w:rPr>
            </w:pPr>
            <w:r>
              <w:rPr>
                <w:rFonts w:eastAsia="Aptos" w:cs="Arial"/>
                <w:kern w:val="0"/>
                <w:sz w:val="22"/>
                <w:szCs w:val="22"/>
                <w:lang w:val="pl-PL" w:eastAsia="en-US" w:bidi="ar-SA"/>
              </w:rPr>
              <w:t>Liczba mieszkańców obszaru rewitalizacji</w:t>
            </w:r>
          </w:p>
        </w:tc>
        <w:tc>
          <w:tcPr>
            <w:tcW w:w="2657" w:type="dxa"/>
            <w:tcBorders/>
          </w:tcPr>
          <w:p>
            <w:pPr>
              <w:pStyle w:val="Normal"/>
              <w:widowControl w:val="false"/>
              <w:suppressAutoHyphens w:val="true"/>
              <w:spacing w:before="60" w:after="60"/>
              <w:jc w:val="center"/>
              <w:rPr>
                <w:rFonts w:cs="Arial"/>
              </w:rPr>
            </w:pPr>
            <w:r>
              <w:rPr>
                <w:rFonts w:eastAsia="Aptos" w:cs="Arial"/>
                <w:color w:themeColor="text1" w:val="000000"/>
                <w:kern w:val="0"/>
                <w:sz w:val="22"/>
                <w:szCs w:val="22"/>
                <w:lang w:val="pl-PL" w:eastAsia="en-US" w:bidi="ar-SA"/>
              </w:rPr>
              <w:t>Wzrost wartości wskaźnika</w:t>
            </w:r>
          </w:p>
        </w:tc>
        <w:tc>
          <w:tcPr>
            <w:tcW w:w="1988" w:type="dxa"/>
            <w:tcBorders/>
          </w:tcPr>
          <w:p>
            <w:pPr>
              <w:pStyle w:val="Normal"/>
              <w:widowControl w:val="false"/>
              <w:suppressAutoHyphens w:val="true"/>
              <w:spacing w:before="60" w:after="60"/>
              <w:jc w:val="center"/>
              <w:rPr>
                <w:rFonts w:cs="Arial"/>
              </w:rPr>
            </w:pPr>
            <w:r>
              <w:rPr>
                <w:rFonts w:eastAsia="Aptos" w:cs="Arial"/>
                <w:kern w:val="0"/>
                <w:sz w:val="22"/>
                <w:szCs w:val="22"/>
                <w:lang w:val="pl-PL" w:eastAsia="en-US" w:bidi="ar-SA"/>
              </w:rPr>
              <w:t>1414 (2024)</w:t>
            </w:r>
          </w:p>
        </w:tc>
        <w:tc>
          <w:tcPr>
            <w:tcW w:w="2264" w:type="dxa"/>
            <w:tcBorders/>
          </w:tcPr>
          <w:p>
            <w:pPr>
              <w:pStyle w:val="Normal"/>
              <w:widowControl w:val="false"/>
              <w:suppressAutoHyphens w:val="true"/>
              <w:spacing w:before="60" w:after="60"/>
              <w:jc w:val="center"/>
              <w:rPr>
                <w:rFonts w:cs="Arial"/>
                <w:color w:themeColor="text1" w:val="000000"/>
              </w:rPr>
            </w:pPr>
            <w:r>
              <w:rPr>
                <w:rFonts w:eastAsia="Aptos" w:cs="Times New Roman"/>
                <w:color w:themeColor="text1" w:val="000000"/>
                <w:kern w:val="0"/>
                <w:sz w:val="22"/>
                <w:szCs w:val="22"/>
                <w:lang w:val="pl-PL" w:eastAsia="en-US" w:bidi="ar-SA"/>
              </w:rPr>
              <w:t>↑</w:t>
            </w:r>
          </w:p>
        </w:tc>
      </w:tr>
      <w:tr>
        <w:trPr/>
        <w:tc>
          <w:tcPr>
            <w:tcW w:w="2157" w:type="dxa"/>
            <w:tcBorders/>
          </w:tcPr>
          <w:p>
            <w:pPr>
              <w:pStyle w:val="Normal"/>
              <w:widowControl w:val="false"/>
              <w:suppressAutoHyphens w:val="true"/>
              <w:spacing w:lineRule="auto" w:line="276" w:before="60" w:after="60"/>
              <w:jc w:val="start"/>
              <w:rPr>
                <w:rFonts w:cs="Arial"/>
                <w:b/>
                <w:bCs/>
              </w:rPr>
            </w:pPr>
            <w:r>
              <w:rPr>
                <w:rFonts w:eastAsia="Aptos" w:cs="Arial"/>
                <w:kern w:val="0"/>
                <w:sz w:val="22"/>
                <w:szCs w:val="22"/>
                <w:lang w:val="pl-PL" w:eastAsia="en-US" w:bidi="ar-SA"/>
              </w:rPr>
              <w:t>Liczba osób objętych projektami w ramach GPR</w:t>
            </w:r>
          </w:p>
        </w:tc>
        <w:tc>
          <w:tcPr>
            <w:tcW w:w="2657" w:type="dxa"/>
            <w:tcBorders/>
          </w:tcPr>
          <w:p>
            <w:pPr>
              <w:pStyle w:val="Normal"/>
              <w:widowControl w:val="false"/>
              <w:suppressAutoHyphens w:val="true"/>
              <w:spacing w:before="60" w:after="60"/>
              <w:jc w:val="center"/>
              <w:rPr>
                <w:rFonts w:cs="Arial"/>
                <w:color w:themeColor="text1" w:val="000000"/>
              </w:rPr>
            </w:pPr>
            <w:r>
              <w:rPr>
                <w:rFonts w:eastAsia="Aptos" w:cs="Arial"/>
                <w:color w:themeColor="text1" w:val="000000"/>
                <w:kern w:val="0"/>
                <w:sz w:val="22"/>
                <w:szCs w:val="22"/>
                <w:lang w:val="pl-PL" w:eastAsia="en-US" w:bidi="ar-SA"/>
              </w:rPr>
              <w:t>Wzrost wartości wskaźnika</w:t>
            </w:r>
          </w:p>
        </w:tc>
        <w:tc>
          <w:tcPr>
            <w:tcW w:w="1988" w:type="dxa"/>
            <w:tcBorders/>
          </w:tcPr>
          <w:p>
            <w:pPr>
              <w:pStyle w:val="Normal"/>
              <w:widowControl w:val="false"/>
              <w:suppressAutoHyphens w:val="true"/>
              <w:spacing w:before="60" w:after="60"/>
              <w:jc w:val="center"/>
              <w:rPr>
                <w:rFonts w:cs="Arial"/>
              </w:rPr>
            </w:pPr>
            <w:r>
              <w:rPr>
                <w:rFonts w:eastAsia="Aptos" w:cs="Arial"/>
                <w:kern w:val="0"/>
                <w:sz w:val="22"/>
                <w:szCs w:val="22"/>
                <w:lang w:val="pl-PL" w:eastAsia="en-US" w:bidi="ar-SA"/>
              </w:rPr>
              <w:t>0 (2026)*</w:t>
            </w:r>
          </w:p>
        </w:tc>
        <w:tc>
          <w:tcPr>
            <w:tcW w:w="2264" w:type="dxa"/>
            <w:tcBorders/>
          </w:tcPr>
          <w:p>
            <w:pPr>
              <w:pStyle w:val="Normal"/>
              <w:widowControl w:val="false"/>
              <w:suppressAutoHyphens w:val="true"/>
              <w:spacing w:before="60" w:after="60"/>
              <w:jc w:val="center"/>
              <w:rPr>
                <w:rFonts w:cs="Times New Roman"/>
                <w:color w:themeColor="text1" w:val="000000"/>
              </w:rPr>
            </w:pPr>
            <w:r>
              <w:rPr>
                <w:rFonts w:eastAsia="Aptos" w:cs="Times New Roman"/>
                <w:color w:themeColor="text1" w:val="000000"/>
                <w:kern w:val="0"/>
                <w:sz w:val="22"/>
                <w:szCs w:val="22"/>
                <w:lang w:val="pl-PL" w:eastAsia="en-US" w:bidi="ar-SA"/>
              </w:rPr>
              <w:t>↑</w:t>
            </w:r>
          </w:p>
        </w:tc>
      </w:tr>
      <w:tr>
        <w:trPr/>
        <w:tc>
          <w:tcPr>
            <w:tcW w:w="2157" w:type="dxa"/>
            <w:tcBorders/>
          </w:tcPr>
          <w:p>
            <w:pPr>
              <w:pStyle w:val="Normal"/>
              <w:widowControl w:val="false"/>
              <w:suppressAutoHyphens w:val="true"/>
              <w:spacing w:lineRule="auto" w:line="276" w:before="60" w:after="60"/>
              <w:jc w:val="start"/>
              <w:rPr>
                <w:rFonts w:cs="Arial"/>
              </w:rPr>
            </w:pPr>
            <w:r>
              <w:rPr>
                <w:rFonts w:eastAsia="Aptos" w:cs="Arial"/>
                <w:kern w:val="0"/>
                <w:sz w:val="22"/>
                <w:szCs w:val="22"/>
                <w:lang w:val="pl-PL" w:eastAsia="en-US" w:bidi="ar-SA"/>
              </w:rPr>
              <w:t>Liczba osób korzystających z pomocy społecznej na obszarze rewitalizacji</w:t>
            </w:r>
          </w:p>
        </w:tc>
        <w:tc>
          <w:tcPr>
            <w:tcW w:w="2657" w:type="dxa"/>
            <w:tcBorders/>
          </w:tcPr>
          <w:p>
            <w:pPr>
              <w:pStyle w:val="Normal"/>
              <w:widowControl w:val="false"/>
              <w:suppressAutoHyphens w:val="true"/>
              <w:spacing w:before="60" w:after="60"/>
              <w:jc w:val="center"/>
              <w:rPr>
                <w:rFonts w:cs="Arial"/>
                <w:color w:themeColor="text1" w:val="000000"/>
              </w:rPr>
            </w:pPr>
            <w:r>
              <w:rPr>
                <w:rFonts w:eastAsia="Aptos" w:cs="Arial"/>
                <w:color w:themeColor="text1" w:val="000000"/>
                <w:kern w:val="0"/>
                <w:sz w:val="22"/>
                <w:szCs w:val="22"/>
                <w:lang w:val="pl-PL" w:eastAsia="en-US" w:bidi="ar-SA"/>
              </w:rPr>
              <w:t>Spadek wartości wskaźnika</w:t>
            </w:r>
          </w:p>
        </w:tc>
        <w:tc>
          <w:tcPr>
            <w:tcW w:w="1988" w:type="dxa"/>
            <w:tcBorders/>
          </w:tcPr>
          <w:p>
            <w:pPr>
              <w:pStyle w:val="Normal"/>
              <w:widowControl w:val="false"/>
              <w:suppressAutoHyphens w:val="true"/>
              <w:spacing w:before="60" w:after="60"/>
              <w:jc w:val="center"/>
              <w:rPr>
                <w:rFonts w:cs="Arial"/>
              </w:rPr>
            </w:pPr>
            <w:r>
              <w:rPr>
                <w:rFonts w:eastAsia="Aptos" w:cs="Arial"/>
                <w:kern w:val="0"/>
                <w:sz w:val="22"/>
                <w:szCs w:val="22"/>
                <w:lang w:val="pl-PL" w:eastAsia="en-US" w:bidi="ar-SA"/>
              </w:rPr>
              <w:t>68 (2024)</w:t>
            </w:r>
          </w:p>
        </w:tc>
        <w:tc>
          <w:tcPr>
            <w:tcW w:w="2264" w:type="dxa"/>
            <w:tcBorders/>
          </w:tcPr>
          <w:p>
            <w:pPr>
              <w:pStyle w:val="Normal"/>
              <w:widowControl w:val="false"/>
              <w:suppressAutoHyphens w:val="true"/>
              <w:spacing w:before="60" w:after="60"/>
              <w:jc w:val="center"/>
              <w:rPr>
                <w:rFonts w:cs="Arial"/>
                <w:color w:themeColor="text1" w:val="000000"/>
              </w:rPr>
            </w:pPr>
            <w:r>
              <w:rPr>
                <w:rFonts w:eastAsia="Aptos" w:cs="Times New Roman"/>
                <w:color w:themeColor="text1" w:val="000000"/>
                <w:kern w:val="0"/>
                <w:sz w:val="22"/>
                <w:szCs w:val="22"/>
                <w:lang w:val="pl-PL" w:eastAsia="en-US" w:bidi="ar-SA"/>
              </w:rPr>
              <w:t>↓</w:t>
            </w:r>
          </w:p>
        </w:tc>
      </w:tr>
      <w:tr>
        <w:trPr/>
        <w:tc>
          <w:tcPr>
            <w:tcW w:w="9066" w:type="dxa"/>
            <w:gridSpan w:val="4"/>
            <w:tcBorders/>
          </w:tcPr>
          <w:p>
            <w:pPr>
              <w:pStyle w:val="Normal"/>
              <w:widowControl w:val="false"/>
              <w:tabs>
                <w:tab w:val="clear" w:pos="708"/>
                <w:tab w:val="left" w:pos="1380" w:leader="none"/>
              </w:tabs>
              <w:suppressAutoHyphens w:val="true"/>
              <w:spacing w:lineRule="auto" w:line="276" w:before="60" w:after="60"/>
              <w:jc w:val="center"/>
              <w:rPr>
                <w:rFonts w:cs="Arial"/>
                <w:b/>
                <w:bCs/>
                <w:color w:themeColor="accent1" w:val="4472C4"/>
              </w:rPr>
            </w:pPr>
            <w:r>
              <w:rPr>
                <w:rFonts w:eastAsia="Aptos" w:cs="Arial"/>
                <w:b/>
                <w:bCs/>
                <w:color w:themeColor="accent1" w:val="4472C4"/>
                <w:kern w:val="0"/>
                <w:sz w:val="22"/>
                <w:szCs w:val="22"/>
                <w:lang w:val="pl-PL" w:eastAsia="en-US" w:bidi="ar-SA"/>
              </w:rPr>
              <w:t>Cel szczegółowy 1. Wspieranie integracji i aktywności różnych grup mieszkańców oraz szerokie włączenie społeczne na obszarze rewitalizacji</w:t>
            </w:r>
          </w:p>
        </w:tc>
      </w:tr>
      <w:tr>
        <w:trPr/>
        <w:tc>
          <w:tcPr>
            <w:tcW w:w="2157" w:type="dxa"/>
            <w:tcBorders/>
          </w:tcPr>
          <w:p>
            <w:pPr>
              <w:pStyle w:val="Default"/>
              <w:widowControl w:val="false"/>
              <w:suppressAutoHyphens w:val="true"/>
              <w:spacing w:lineRule="auto" w:line="276" w:before="0" w:after="0"/>
              <w:jc w:val="start"/>
              <w:rPr>
                <w:rFonts w:ascii="Aptos" w:hAnsi="Aptos" w:cs="Arial" w:asciiTheme="minorHAnsi" w:hAnsiTheme="minorHAnsi"/>
                <w:color w:val="auto"/>
                <w:sz w:val="22"/>
                <w:szCs w:val="22"/>
              </w:rPr>
            </w:pPr>
            <w:r>
              <w:rPr>
                <w:rFonts w:cs="Arial" w:ascii="Aptos" w:hAnsi="Aptos" w:asciiTheme="minorHAnsi" w:hAnsiTheme="minorHAnsi"/>
                <w:color w:val="auto"/>
                <w:sz w:val="22"/>
                <w:szCs w:val="22"/>
                <w:lang w:val="pl-PL" w:eastAsia="en-US" w:bidi="ar-SA"/>
              </w:rPr>
              <w:t xml:space="preserve">Liczba osób korzystających z pomocy społecznej z powodu ubóstwa </w:t>
            </w:r>
            <w:r>
              <w:rPr>
                <w:rFonts w:cs="Arial" w:ascii="Aptos" w:hAnsi="Aptos" w:asciiTheme="minorHAnsi" w:hAnsiTheme="minorHAnsi"/>
                <w:lang w:val="pl-PL" w:eastAsia="en-US" w:bidi="ar-SA"/>
              </w:rPr>
              <w:t>na obszarze rewitalizacji</w:t>
            </w:r>
          </w:p>
        </w:tc>
        <w:tc>
          <w:tcPr>
            <w:tcW w:w="2657" w:type="dxa"/>
            <w:tcBorders/>
          </w:tcPr>
          <w:p>
            <w:pPr>
              <w:pStyle w:val="Normal"/>
              <w:widowControl w:val="false"/>
              <w:suppressAutoHyphens w:val="true"/>
              <w:spacing w:before="60" w:after="60"/>
              <w:jc w:val="center"/>
              <w:rPr>
                <w:rFonts w:cs="Arial"/>
                <w:color w:themeColor="text1" w:val="000000"/>
              </w:rPr>
            </w:pPr>
            <w:r>
              <w:rPr>
                <w:rFonts w:eastAsia="Aptos" w:cs="Arial"/>
                <w:color w:themeColor="text1" w:val="000000"/>
                <w:kern w:val="0"/>
                <w:sz w:val="22"/>
                <w:szCs w:val="22"/>
                <w:lang w:val="pl-PL" w:eastAsia="en-US" w:bidi="ar-SA"/>
              </w:rPr>
              <w:t>Spadek wartości wskaźnika</w:t>
            </w:r>
          </w:p>
        </w:tc>
        <w:tc>
          <w:tcPr>
            <w:tcW w:w="1988" w:type="dxa"/>
            <w:tcBorders/>
          </w:tcPr>
          <w:p>
            <w:pPr>
              <w:pStyle w:val="Normal"/>
              <w:widowControl w:val="false"/>
              <w:suppressAutoHyphens w:val="true"/>
              <w:spacing w:before="60" w:after="60"/>
              <w:jc w:val="center"/>
              <w:rPr>
                <w:rFonts w:cs="Arial"/>
              </w:rPr>
            </w:pPr>
            <w:r>
              <w:rPr>
                <w:rFonts w:eastAsia="Aptos" w:cs="Arial"/>
                <w:kern w:val="0"/>
                <w:sz w:val="22"/>
                <w:szCs w:val="22"/>
                <w:lang w:val="pl-PL" w:eastAsia="en-US" w:bidi="ar-SA"/>
              </w:rPr>
              <w:t>37 (2024)</w:t>
            </w:r>
          </w:p>
        </w:tc>
        <w:tc>
          <w:tcPr>
            <w:tcW w:w="2264" w:type="dxa"/>
            <w:tcBorders/>
          </w:tcPr>
          <w:p>
            <w:pPr>
              <w:pStyle w:val="Normal"/>
              <w:widowControl w:val="false"/>
              <w:suppressAutoHyphens w:val="true"/>
              <w:spacing w:before="60" w:after="60"/>
              <w:jc w:val="center"/>
              <w:rPr>
                <w:rFonts w:cs="Times New Roman"/>
                <w:color w:themeColor="text1" w:val="000000"/>
              </w:rPr>
            </w:pPr>
            <w:r>
              <w:rPr>
                <w:rFonts w:eastAsia="Aptos" w:cs="Times New Roman"/>
                <w:color w:themeColor="text1" w:val="000000"/>
                <w:kern w:val="0"/>
                <w:sz w:val="22"/>
                <w:szCs w:val="22"/>
                <w:lang w:val="pl-PL" w:eastAsia="en-US" w:bidi="ar-SA"/>
              </w:rPr>
              <w:t>↓</w:t>
            </w:r>
          </w:p>
        </w:tc>
      </w:tr>
      <w:tr>
        <w:trPr/>
        <w:tc>
          <w:tcPr>
            <w:tcW w:w="2157" w:type="dxa"/>
            <w:tcBorders/>
          </w:tcPr>
          <w:p>
            <w:pPr>
              <w:pStyle w:val="Default"/>
              <w:widowControl w:val="false"/>
              <w:suppressAutoHyphens w:val="true"/>
              <w:spacing w:lineRule="auto" w:line="276" w:before="0" w:after="0"/>
              <w:jc w:val="start"/>
              <w:rPr>
                <w:rFonts w:ascii="Aptos" w:hAnsi="Aptos" w:cs="Arial" w:asciiTheme="minorHAnsi" w:hAnsiTheme="minorHAnsi"/>
                <w:color w:val="auto"/>
                <w:sz w:val="22"/>
                <w:szCs w:val="22"/>
              </w:rPr>
            </w:pPr>
            <w:r>
              <w:rPr>
                <w:rFonts w:cs="Arial" w:ascii="Aptos" w:hAnsi="Aptos" w:asciiTheme="minorHAnsi" w:hAnsiTheme="minorHAnsi"/>
                <w:color w:val="auto"/>
                <w:sz w:val="22"/>
                <w:szCs w:val="22"/>
                <w:lang w:val="pl-PL" w:eastAsia="en-US" w:bidi="ar-SA"/>
              </w:rPr>
              <w:t>Liczba podmiotów zarejestrowanych w CEIDG wg miejsca prowadzenia działalności</w:t>
            </w:r>
          </w:p>
        </w:tc>
        <w:tc>
          <w:tcPr>
            <w:tcW w:w="2657" w:type="dxa"/>
            <w:tcBorders/>
          </w:tcPr>
          <w:p>
            <w:pPr>
              <w:pStyle w:val="Normal"/>
              <w:widowControl w:val="false"/>
              <w:suppressAutoHyphens w:val="true"/>
              <w:spacing w:before="60" w:after="60"/>
              <w:jc w:val="center"/>
              <w:rPr>
                <w:rFonts w:cs="Arial"/>
                <w:color w:themeColor="text1" w:val="000000"/>
              </w:rPr>
            </w:pPr>
            <w:r>
              <w:rPr>
                <w:rFonts w:eastAsia="Aptos" w:cs="Arial"/>
                <w:color w:themeColor="text1" w:val="000000"/>
                <w:kern w:val="0"/>
                <w:sz w:val="22"/>
                <w:szCs w:val="22"/>
                <w:lang w:val="pl-PL" w:eastAsia="en-US" w:bidi="ar-SA"/>
              </w:rPr>
              <w:t>Spadek wartości wskaźnika</w:t>
            </w:r>
          </w:p>
        </w:tc>
        <w:tc>
          <w:tcPr>
            <w:tcW w:w="1988" w:type="dxa"/>
            <w:tcBorders/>
          </w:tcPr>
          <w:p>
            <w:pPr>
              <w:pStyle w:val="Normal"/>
              <w:widowControl w:val="false"/>
              <w:suppressAutoHyphens w:val="true"/>
              <w:spacing w:before="60" w:after="60"/>
              <w:jc w:val="center"/>
              <w:rPr>
                <w:rFonts w:cs="Arial"/>
              </w:rPr>
            </w:pPr>
            <w:r>
              <w:rPr>
                <w:rFonts w:eastAsia="Aptos" w:cs="Arial"/>
                <w:kern w:val="0"/>
                <w:sz w:val="22"/>
                <w:szCs w:val="22"/>
                <w:lang w:val="pl-PL" w:eastAsia="en-US" w:bidi="ar-SA"/>
              </w:rPr>
              <w:t>85 (2023)</w:t>
            </w:r>
          </w:p>
        </w:tc>
        <w:tc>
          <w:tcPr>
            <w:tcW w:w="2264" w:type="dxa"/>
            <w:tcBorders/>
          </w:tcPr>
          <w:p>
            <w:pPr>
              <w:pStyle w:val="Normal"/>
              <w:widowControl w:val="false"/>
              <w:suppressAutoHyphens w:val="true"/>
              <w:spacing w:before="60" w:after="60"/>
              <w:jc w:val="center"/>
              <w:rPr>
                <w:rFonts w:cs="Times New Roman"/>
                <w:color w:themeColor="text1" w:val="000000"/>
              </w:rPr>
            </w:pPr>
            <w:r>
              <w:rPr>
                <w:rFonts w:eastAsia="Aptos" w:cs="Times New Roman"/>
                <w:color w:themeColor="text1" w:val="000000"/>
                <w:kern w:val="0"/>
                <w:sz w:val="22"/>
                <w:szCs w:val="22"/>
                <w:lang w:val="pl-PL" w:eastAsia="en-US" w:bidi="ar-SA"/>
              </w:rPr>
              <w:t>↓</w:t>
            </w:r>
          </w:p>
        </w:tc>
      </w:tr>
      <w:tr>
        <w:trPr/>
        <w:tc>
          <w:tcPr>
            <w:tcW w:w="2157" w:type="dxa"/>
            <w:tcBorders/>
          </w:tcPr>
          <w:p>
            <w:pPr>
              <w:pStyle w:val="Default"/>
              <w:widowControl w:val="false"/>
              <w:suppressAutoHyphens w:val="true"/>
              <w:spacing w:lineRule="auto" w:line="276" w:before="0" w:after="0"/>
              <w:jc w:val="start"/>
              <w:rPr>
                <w:rFonts w:ascii="Aptos" w:hAnsi="Aptos" w:asciiTheme="minorHAnsi" w:hAnsiTheme="minorHAnsi"/>
                <w:sz w:val="22"/>
                <w:szCs w:val="22"/>
              </w:rPr>
            </w:pPr>
            <w:r>
              <w:rPr>
                <w:rFonts w:ascii="Aptos" w:hAnsi="Aptos" w:asciiTheme="minorHAnsi" w:hAnsiTheme="minorHAnsi"/>
                <w:sz w:val="22"/>
                <w:szCs w:val="22"/>
                <w:lang w:val="pl-PL" w:eastAsia="en-US" w:bidi="ar-SA"/>
              </w:rPr>
              <w:t>Liczba NGO</w:t>
            </w:r>
          </w:p>
        </w:tc>
        <w:tc>
          <w:tcPr>
            <w:tcW w:w="2657" w:type="dxa"/>
            <w:tcBorders/>
          </w:tcPr>
          <w:p>
            <w:pPr>
              <w:pStyle w:val="Normal"/>
              <w:widowControl w:val="false"/>
              <w:suppressAutoHyphens w:val="true"/>
              <w:spacing w:before="60" w:after="60"/>
              <w:jc w:val="center"/>
              <w:rPr>
                <w:rFonts w:cs="Arial"/>
                <w:color w:themeColor="text1" w:val="000000"/>
              </w:rPr>
            </w:pPr>
            <w:r>
              <w:rPr>
                <w:rFonts w:eastAsia="Aptos" w:cs="Arial"/>
                <w:color w:themeColor="text1" w:val="000000"/>
                <w:kern w:val="0"/>
                <w:sz w:val="22"/>
                <w:szCs w:val="22"/>
                <w:lang w:val="pl-PL" w:eastAsia="en-US" w:bidi="ar-SA"/>
              </w:rPr>
              <w:t>Wzrost wartości wskaźnika</w:t>
            </w:r>
          </w:p>
        </w:tc>
        <w:tc>
          <w:tcPr>
            <w:tcW w:w="1988" w:type="dxa"/>
            <w:tcBorders/>
          </w:tcPr>
          <w:p>
            <w:pPr>
              <w:pStyle w:val="Normal"/>
              <w:widowControl w:val="false"/>
              <w:suppressAutoHyphens w:val="true"/>
              <w:spacing w:before="60" w:after="60"/>
              <w:jc w:val="center"/>
              <w:rPr>
                <w:rFonts w:cs="Arial"/>
                <w:color w:themeColor="text1" w:val="000000"/>
              </w:rPr>
            </w:pPr>
            <w:r>
              <w:rPr>
                <w:rFonts w:eastAsia="Aptos" w:cs="Arial"/>
                <w:kern w:val="0"/>
                <w:sz w:val="22"/>
                <w:szCs w:val="22"/>
                <w:lang w:val="pl-PL" w:eastAsia="en-US" w:bidi="ar-SA"/>
              </w:rPr>
              <w:t>10 (2024)</w:t>
            </w:r>
          </w:p>
        </w:tc>
        <w:tc>
          <w:tcPr>
            <w:tcW w:w="2264" w:type="dxa"/>
            <w:tcBorders/>
          </w:tcPr>
          <w:p>
            <w:pPr>
              <w:pStyle w:val="Normal"/>
              <w:widowControl w:val="false"/>
              <w:suppressAutoHyphens w:val="true"/>
              <w:spacing w:before="60" w:after="60"/>
              <w:jc w:val="center"/>
              <w:rPr>
                <w:rFonts w:cs="Arial"/>
                <w:color w:themeColor="text1" w:val="000000"/>
              </w:rPr>
            </w:pPr>
            <w:r>
              <w:rPr>
                <w:rFonts w:eastAsia="Aptos" w:cs="Times New Roman"/>
                <w:color w:themeColor="text1" w:val="000000"/>
                <w:kern w:val="0"/>
                <w:sz w:val="22"/>
                <w:szCs w:val="22"/>
                <w:lang w:val="pl-PL" w:eastAsia="en-US" w:bidi="ar-SA"/>
              </w:rPr>
              <w:t>↑</w:t>
            </w:r>
          </w:p>
        </w:tc>
      </w:tr>
      <w:tr>
        <w:trPr/>
        <w:tc>
          <w:tcPr>
            <w:tcW w:w="2157" w:type="dxa"/>
            <w:tcBorders/>
          </w:tcPr>
          <w:p>
            <w:pPr>
              <w:pStyle w:val="Normal"/>
              <w:widowControl w:val="false"/>
              <w:suppressAutoHyphens w:val="true"/>
              <w:spacing w:lineRule="auto" w:line="276" w:before="60" w:after="60"/>
              <w:jc w:val="start"/>
              <w:rPr>
                <w:rFonts w:cs="Arial"/>
                <w:b/>
                <w:bCs/>
              </w:rPr>
            </w:pPr>
            <w:r>
              <w:rPr>
                <w:rFonts w:eastAsia="Aptos" w:cs="Century Gothic"/>
                <w:color w:val="000000"/>
                <w:kern w:val="0"/>
                <w:sz w:val="22"/>
                <w:szCs w:val="22"/>
                <w:lang w:val="pl-PL" w:eastAsia="en-US" w:bidi="ar-SA"/>
              </w:rPr>
              <w:t>Liczba wydarzeń integrujących seniorów w ramach przedsięwzięć rewitalizacyjnych</w:t>
            </w:r>
          </w:p>
        </w:tc>
        <w:tc>
          <w:tcPr>
            <w:tcW w:w="2657" w:type="dxa"/>
            <w:tcBorders/>
          </w:tcPr>
          <w:p>
            <w:pPr>
              <w:pStyle w:val="Normal"/>
              <w:widowControl w:val="false"/>
              <w:suppressAutoHyphens w:val="true"/>
              <w:spacing w:before="60" w:after="60"/>
              <w:jc w:val="center"/>
              <w:rPr>
                <w:rFonts w:cs="Arial"/>
                <w:color w:themeColor="text1" w:val="000000"/>
              </w:rPr>
            </w:pPr>
            <w:r>
              <w:rPr>
                <w:rFonts w:eastAsia="Aptos" w:cs="Arial"/>
                <w:color w:themeColor="text1" w:val="000000"/>
                <w:kern w:val="0"/>
                <w:sz w:val="22"/>
                <w:szCs w:val="22"/>
                <w:lang w:val="pl-PL" w:eastAsia="en-US" w:bidi="ar-SA"/>
              </w:rPr>
              <w:t>Wzrost wartości wskaźnika</w:t>
            </w:r>
          </w:p>
        </w:tc>
        <w:tc>
          <w:tcPr>
            <w:tcW w:w="1988" w:type="dxa"/>
            <w:tcBorders/>
          </w:tcPr>
          <w:p>
            <w:pPr>
              <w:pStyle w:val="Normal"/>
              <w:widowControl w:val="false"/>
              <w:suppressAutoHyphens w:val="true"/>
              <w:spacing w:before="60" w:after="60"/>
              <w:jc w:val="center"/>
              <w:rPr>
                <w:rFonts w:cs="Arial"/>
              </w:rPr>
            </w:pPr>
            <w:r>
              <w:rPr>
                <w:rFonts w:eastAsia="Aptos" w:cs="Arial"/>
                <w:kern w:val="0"/>
                <w:sz w:val="22"/>
                <w:szCs w:val="22"/>
                <w:lang w:val="pl-PL" w:eastAsia="en-US" w:bidi="ar-SA"/>
              </w:rPr>
              <w:t>0 (2026)*</w:t>
            </w:r>
          </w:p>
        </w:tc>
        <w:tc>
          <w:tcPr>
            <w:tcW w:w="2264" w:type="dxa"/>
            <w:tcBorders/>
          </w:tcPr>
          <w:p>
            <w:pPr>
              <w:pStyle w:val="Normal"/>
              <w:widowControl w:val="false"/>
              <w:suppressAutoHyphens w:val="true"/>
              <w:spacing w:before="60" w:after="60"/>
              <w:jc w:val="center"/>
              <w:rPr>
                <w:rFonts w:cs="Arial"/>
                <w:color w:themeColor="text1" w:val="000000"/>
              </w:rPr>
            </w:pPr>
            <w:r>
              <w:rPr>
                <w:rFonts w:eastAsia="Aptos" w:cs="Times New Roman"/>
                <w:color w:themeColor="text1" w:val="000000"/>
                <w:kern w:val="0"/>
                <w:sz w:val="22"/>
                <w:szCs w:val="22"/>
                <w:lang w:val="pl-PL" w:eastAsia="en-US" w:bidi="ar-SA"/>
              </w:rPr>
              <w:t>↑</w:t>
            </w:r>
          </w:p>
        </w:tc>
      </w:tr>
      <w:tr>
        <w:trPr/>
        <w:tc>
          <w:tcPr>
            <w:tcW w:w="2157" w:type="dxa"/>
            <w:tcBorders/>
          </w:tcPr>
          <w:p>
            <w:pPr>
              <w:pStyle w:val="Normal"/>
              <w:widowControl w:val="false"/>
              <w:suppressAutoHyphens w:val="true"/>
              <w:spacing w:lineRule="auto" w:line="276" w:before="60" w:after="60"/>
              <w:jc w:val="start"/>
              <w:rPr>
                <w:rFonts w:cs="Century Gothic"/>
                <w:color w:val="000000"/>
              </w:rPr>
            </w:pPr>
            <w:r>
              <w:rPr>
                <w:rFonts w:eastAsia="Aptos" w:cs="Century Gothic"/>
                <w:color w:val="000000"/>
                <w:kern w:val="0"/>
                <w:sz w:val="22"/>
                <w:szCs w:val="22"/>
                <w:lang w:val="pl-PL" w:eastAsia="en-US" w:bidi="ar-SA"/>
              </w:rPr>
              <w:t>Liczba wydarzeń integrujących osoby młode w ramach przedsięwzięć rewitalizacyjnych</w:t>
            </w:r>
          </w:p>
        </w:tc>
        <w:tc>
          <w:tcPr>
            <w:tcW w:w="2657" w:type="dxa"/>
            <w:tcBorders/>
          </w:tcPr>
          <w:p>
            <w:pPr>
              <w:pStyle w:val="Normal"/>
              <w:widowControl w:val="false"/>
              <w:suppressAutoHyphens w:val="true"/>
              <w:spacing w:before="60" w:after="60"/>
              <w:jc w:val="center"/>
              <w:rPr>
                <w:rFonts w:cs="Arial"/>
                <w:color w:themeColor="text1" w:val="000000"/>
              </w:rPr>
            </w:pPr>
            <w:r>
              <w:rPr>
                <w:rFonts w:eastAsia="Aptos" w:cs="Arial"/>
                <w:color w:themeColor="text1" w:val="000000"/>
                <w:kern w:val="0"/>
                <w:sz w:val="22"/>
                <w:szCs w:val="22"/>
                <w:lang w:val="pl-PL" w:eastAsia="en-US" w:bidi="ar-SA"/>
              </w:rPr>
              <w:t>Wzrost wartości wskaźnika</w:t>
            </w:r>
          </w:p>
        </w:tc>
        <w:tc>
          <w:tcPr>
            <w:tcW w:w="1988" w:type="dxa"/>
            <w:tcBorders/>
          </w:tcPr>
          <w:p>
            <w:pPr>
              <w:pStyle w:val="Normal"/>
              <w:widowControl w:val="false"/>
              <w:suppressAutoHyphens w:val="true"/>
              <w:spacing w:before="60" w:after="60"/>
              <w:jc w:val="center"/>
              <w:rPr>
                <w:rFonts w:cs="Arial"/>
              </w:rPr>
            </w:pPr>
            <w:r>
              <w:rPr>
                <w:rFonts w:eastAsia="Aptos" w:cs="Arial"/>
                <w:kern w:val="0"/>
                <w:sz w:val="22"/>
                <w:szCs w:val="22"/>
                <w:lang w:val="pl-PL" w:eastAsia="en-US" w:bidi="ar-SA"/>
              </w:rPr>
              <w:t>0 (2026)*</w:t>
            </w:r>
          </w:p>
        </w:tc>
        <w:tc>
          <w:tcPr>
            <w:tcW w:w="2264" w:type="dxa"/>
            <w:tcBorders/>
          </w:tcPr>
          <w:p>
            <w:pPr>
              <w:pStyle w:val="Normal"/>
              <w:widowControl w:val="false"/>
              <w:suppressAutoHyphens w:val="true"/>
              <w:spacing w:before="60" w:after="60"/>
              <w:jc w:val="center"/>
              <w:rPr>
                <w:rFonts w:cs="Times New Roman"/>
                <w:color w:themeColor="text1" w:val="000000"/>
              </w:rPr>
            </w:pPr>
            <w:r>
              <w:rPr>
                <w:rFonts w:eastAsia="Aptos" w:cs="Times New Roman"/>
                <w:color w:themeColor="text1" w:val="000000"/>
                <w:kern w:val="0"/>
                <w:sz w:val="22"/>
                <w:szCs w:val="22"/>
                <w:lang w:val="pl-PL" w:eastAsia="en-US" w:bidi="ar-SA"/>
              </w:rPr>
              <w:t>↑</w:t>
            </w:r>
          </w:p>
        </w:tc>
      </w:tr>
      <w:tr>
        <w:trPr/>
        <w:tc>
          <w:tcPr>
            <w:tcW w:w="9066" w:type="dxa"/>
            <w:gridSpan w:val="4"/>
            <w:tcBorders/>
          </w:tcPr>
          <w:p>
            <w:pPr>
              <w:pStyle w:val="Normal"/>
              <w:widowControl w:val="false"/>
              <w:suppressAutoHyphens w:val="true"/>
              <w:spacing w:lineRule="auto" w:line="276" w:before="60" w:after="60"/>
              <w:jc w:val="center"/>
              <w:rPr>
                <w:rFonts w:cs="Arial"/>
                <w:b/>
                <w:bCs/>
                <w:color w:themeColor="accent1" w:val="4472C4"/>
              </w:rPr>
            </w:pPr>
            <w:r>
              <w:rPr>
                <w:rFonts w:eastAsia="Aptos" w:cs="Arial"/>
                <w:b/>
                <w:bCs/>
                <w:color w:themeColor="accent1" w:val="4472C4"/>
                <w:kern w:val="0"/>
                <w:sz w:val="22"/>
                <w:szCs w:val="22"/>
                <w:lang w:val="pl-PL" w:eastAsia="en-US" w:bidi="ar-SA"/>
              </w:rPr>
              <w:t>Cel szczegółowy 2. Rozwój systemu przestrzeni publicznych przyjaznego ludziom i środowisku na obszarze rewitalizacji</w:t>
            </w:r>
          </w:p>
        </w:tc>
      </w:tr>
      <w:tr>
        <w:trPr/>
        <w:tc>
          <w:tcPr>
            <w:tcW w:w="2157" w:type="dxa"/>
            <w:tcBorders/>
          </w:tcPr>
          <w:p>
            <w:pPr>
              <w:pStyle w:val="Normal"/>
              <w:widowControl w:val="false"/>
              <w:suppressAutoHyphens w:val="true"/>
              <w:spacing w:lineRule="auto" w:line="276" w:before="60" w:after="60"/>
              <w:jc w:val="start"/>
              <w:rPr>
                <w:rFonts w:cs="Arial"/>
              </w:rPr>
            </w:pPr>
            <w:r>
              <w:rPr>
                <w:rFonts w:eastAsia="Aptos" w:cs="Arial"/>
                <w:kern w:val="0"/>
                <w:sz w:val="22"/>
                <w:szCs w:val="22"/>
                <w:lang w:val="pl-PL" w:eastAsia="en-US" w:bidi="ar-SA"/>
              </w:rPr>
              <w:t>Liczba zmodernizowanych lub nowych obiektów użyteczności publicznej i przestrzeni publicznych na obszarze rewitalizacji</w:t>
            </w:r>
          </w:p>
        </w:tc>
        <w:tc>
          <w:tcPr>
            <w:tcW w:w="2657" w:type="dxa"/>
            <w:tcBorders/>
          </w:tcPr>
          <w:p>
            <w:pPr>
              <w:pStyle w:val="Normal"/>
              <w:widowControl w:val="false"/>
              <w:suppressAutoHyphens w:val="true"/>
              <w:spacing w:before="60" w:after="60"/>
              <w:jc w:val="center"/>
              <w:rPr>
                <w:rFonts w:cs="Arial"/>
                <w:color w:themeColor="text1" w:val="000000"/>
              </w:rPr>
            </w:pPr>
            <w:r>
              <w:rPr>
                <w:rFonts w:eastAsia="Aptos" w:cs="Arial"/>
                <w:color w:themeColor="text1" w:val="000000"/>
                <w:kern w:val="0"/>
                <w:sz w:val="22"/>
                <w:szCs w:val="22"/>
                <w:lang w:val="pl-PL" w:eastAsia="en-US" w:bidi="ar-SA"/>
              </w:rPr>
              <w:t>Wzrost wartości wskaźnika</w:t>
            </w:r>
          </w:p>
        </w:tc>
        <w:tc>
          <w:tcPr>
            <w:tcW w:w="1988" w:type="dxa"/>
            <w:tcBorders/>
          </w:tcPr>
          <w:p>
            <w:pPr>
              <w:pStyle w:val="Normal"/>
              <w:widowControl w:val="false"/>
              <w:suppressAutoHyphens w:val="true"/>
              <w:spacing w:before="60" w:after="60"/>
              <w:jc w:val="center"/>
              <w:rPr>
                <w:rFonts w:cs="Arial"/>
                <w:color w:themeColor="text1" w:val="000000"/>
              </w:rPr>
            </w:pPr>
            <w:r>
              <w:rPr>
                <w:rFonts w:eastAsia="Aptos" w:cs="Arial"/>
                <w:kern w:val="0"/>
                <w:sz w:val="22"/>
                <w:szCs w:val="22"/>
                <w:lang w:val="pl-PL" w:eastAsia="en-US" w:bidi="ar-SA"/>
              </w:rPr>
              <w:t>0 (2026)*</w:t>
            </w:r>
          </w:p>
        </w:tc>
        <w:tc>
          <w:tcPr>
            <w:tcW w:w="2264" w:type="dxa"/>
            <w:tcBorders/>
          </w:tcPr>
          <w:p>
            <w:pPr>
              <w:pStyle w:val="Normal"/>
              <w:widowControl w:val="false"/>
              <w:suppressAutoHyphens w:val="true"/>
              <w:spacing w:before="60" w:after="60"/>
              <w:jc w:val="center"/>
              <w:rPr>
                <w:rFonts w:cs="Times New Roman"/>
                <w:color w:themeColor="text1" w:val="000000"/>
              </w:rPr>
            </w:pPr>
            <w:r>
              <w:rPr>
                <w:rFonts w:eastAsia="Aptos" w:cs="Times New Roman"/>
                <w:color w:themeColor="text1" w:val="000000"/>
                <w:kern w:val="0"/>
                <w:sz w:val="22"/>
                <w:szCs w:val="22"/>
                <w:lang w:val="pl-PL" w:eastAsia="en-US" w:bidi="ar-SA"/>
              </w:rPr>
              <w:t>↑</w:t>
            </w:r>
          </w:p>
        </w:tc>
      </w:tr>
      <w:tr>
        <w:trPr/>
        <w:tc>
          <w:tcPr>
            <w:tcW w:w="2157" w:type="dxa"/>
            <w:tcBorders/>
          </w:tcPr>
          <w:p>
            <w:pPr>
              <w:pStyle w:val="Normal"/>
              <w:widowControl w:val="false"/>
              <w:suppressAutoHyphens w:val="true"/>
              <w:spacing w:lineRule="auto" w:line="276" w:before="60" w:after="60"/>
              <w:jc w:val="start"/>
              <w:rPr>
                <w:rFonts w:cs="Arial"/>
              </w:rPr>
            </w:pPr>
            <w:r>
              <w:rPr>
                <w:rFonts w:eastAsia="Aptos" w:cs="Arial"/>
                <w:kern w:val="0"/>
                <w:sz w:val="22"/>
                <w:szCs w:val="22"/>
                <w:lang w:val="pl-PL" w:eastAsia="en-US" w:bidi="ar-SA"/>
              </w:rPr>
              <w:t>Liczba zmodernizowanych lub nowych budynków i lokali w komunalnym zasobie mieszkaniowym na obszarze rewitalizacji</w:t>
            </w:r>
          </w:p>
        </w:tc>
        <w:tc>
          <w:tcPr>
            <w:tcW w:w="2657" w:type="dxa"/>
            <w:tcBorders/>
          </w:tcPr>
          <w:p>
            <w:pPr>
              <w:pStyle w:val="Normal"/>
              <w:widowControl w:val="false"/>
              <w:suppressAutoHyphens w:val="true"/>
              <w:spacing w:before="60" w:after="60"/>
              <w:jc w:val="center"/>
              <w:rPr>
                <w:rFonts w:cs="Arial"/>
                <w:color w:themeColor="text1" w:val="000000"/>
              </w:rPr>
            </w:pPr>
            <w:r>
              <w:rPr>
                <w:rFonts w:eastAsia="Aptos" w:cs="Arial"/>
                <w:color w:themeColor="text1" w:val="000000"/>
                <w:kern w:val="0"/>
                <w:sz w:val="22"/>
                <w:szCs w:val="22"/>
                <w:lang w:val="pl-PL" w:eastAsia="en-US" w:bidi="ar-SA"/>
              </w:rPr>
              <w:t>Wzrost wartości wskaźnika</w:t>
            </w:r>
          </w:p>
        </w:tc>
        <w:tc>
          <w:tcPr>
            <w:tcW w:w="1988" w:type="dxa"/>
            <w:tcBorders/>
          </w:tcPr>
          <w:p>
            <w:pPr>
              <w:pStyle w:val="Normal"/>
              <w:widowControl w:val="false"/>
              <w:suppressAutoHyphens w:val="true"/>
              <w:spacing w:before="60" w:after="60"/>
              <w:jc w:val="center"/>
              <w:rPr>
                <w:rFonts w:cs="Arial"/>
                <w:color w:themeColor="text1" w:val="000000"/>
              </w:rPr>
            </w:pPr>
            <w:r>
              <w:rPr>
                <w:rFonts w:eastAsia="Aptos" w:cs="Arial"/>
                <w:color w:themeColor="text1" w:val="000000"/>
                <w:kern w:val="0"/>
                <w:sz w:val="22"/>
                <w:szCs w:val="22"/>
                <w:lang w:val="pl-PL" w:eastAsia="en-US" w:bidi="ar-SA"/>
              </w:rPr>
              <w:t>0 (2026)*</w:t>
            </w:r>
          </w:p>
        </w:tc>
        <w:tc>
          <w:tcPr>
            <w:tcW w:w="2264" w:type="dxa"/>
            <w:tcBorders/>
          </w:tcPr>
          <w:p>
            <w:pPr>
              <w:pStyle w:val="Normal"/>
              <w:widowControl w:val="false"/>
              <w:suppressAutoHyphens w:val="true"/>
              <w:spacing w:before="60" w:after="60"/>
              <w:jc w:val="center"/>
              <w:rPr>
                <w:rFonts w:cs="Arial"/>
                <w:color w:themeColor="text1" w:val="000000"/>
              </w:rPr>
            </w:pPr>
            <w:r>
              <w:rPr>
                <w:rFonts w:eastAsia="Aptos" w:cs="Times New Roman"/>
                <w:color w:themeColor="text1" w:val="000000"/>
                <w:kern w:val="0"/>
                <w:sz w:val="22"/>
                <w:szCs w:val="22"/>
                <w:lang w:val="pl-PL" w:eastAsia="en-US" w:bidi="ar-SA"/>
              </w:rPr>
              <w:t>↑</w:t>
            </w:r>
          </w:p>
        </w:tc>
      </w:tr>
      <w:tr>
        <w:trPr/>
        <w:tc>
          <w:tcPr>
            <w:tcW w:w="2157" w:type="dxa"/>
            <w:tcBorders/>
          </w:tcPr>
          <w:p>
            <w:pPr>
              <w:pStyle w:val="Normal"/>
              <w:widowControl w:val="false"/>
              <w:suppressAutoHyphens w:val="true"/>
              <w:spacing w:lineRule="auto" w:line="276" w:before="60" w:after="60"/>
              <w:jc w:val="start"/>
              <w:rPr>
                <w:rFonts w:cs="Arial"/>
                <w:b/>
                <w:bCs/>
              </w:rPr>
            </w:pPr>
            <w:r>
              <w:rPr>
                <w:rFonts w:eastAsia="Aptos" w:cs="Arial"/>
                <w:kern w:val="0"/>
                <w:sz w:val="22"/>
                <w:szCs w:val="22"/>
                <w:lang w:val="pl-PL" w:eastAsia="en-US" w:bidi="ar-SA"/>
              </w:rPr>
              <w:t>Liczba budynków użyteczności publicznej niedostosowanych do potrzeb osób ze szczególnymi potrzebami</w:t>
            </w:r>
          </w:p>
        </w:tc>
        <w:tc>
          <w:tcPr>
            <w:tcW w:w="2657" w:type="dxa"/>
            <w:tcBorders/>
          </w:tcPr>
          <w:p>
            <w:pPr>
              <w:pStyle w:val="Normal"/>
              <w:widowControl w:val="false"/>
              <w:suppressAutoHyphens w:val="true"/>
              <w:spacing w:before="60" w:after="60"/>
              <w:jc w:val="center"/>
              <w:rPr>
                <w:rFonts w:cs="Arial"/>
                <w:color w:themeColor="text1" w:val="000000"/>
              </w:rPr>
            </w:pPr>
            <w:r>
              <w:rPr>
                <w:rFonts w:eastAsia="Aptos" w:cs="Arial"/>
                <w:color w:themeColor="text1" w:val="000000"/>
                <w:kern w:val="0"/>
                <w:sz w:val="22"/>
                <w:szCs w:val="22"/>
                <w:lang w:val="pl-PL" w:eastAsia="en-US" w:bidi="ar-SA"/>
              </w:rPr>
              <w:t>Spadek wartości wskaźnika</w:t>
            </w:r>
          </w:p>
        </w:tc>
        <w:tc>
          <w:tcPr>
            <w:tcW w:w="1988" w:type="dxa"/>
            <w:tcBorders/>
          </w:tcPr>
          <w:p>
            <w:pPr>
              <w:pStyle w:val="Normal"/>
              <w:widowControl w:val="false"/>
              <w:suppressAutoHyphens w:val="true"/>
              <w:spacing w:before="60" w:after="60"/>
              <w:jc w:val="center"/>
              <w:rPr>
                <w:rFonts w:cs="Arial"/>
                <w:color w:themeColor="text1" w:val="000000"/>
              </w:rPr>
            </w:pPr>
            <w:r>
              <w:rPr>
                <w:rFonts w:eastAsia="Aptos" w:cs="Arial"/>
                <w:kern w:val="0"/>
                <w:sz w:val="22"/>
                <w:szCs w:val="22"/>
                <w:lang w:val="pl-PL" w:eastAsia="en-US" w:bidi="ar-SA"/>
              </w:rPr>
              <w:t>4 (2024)</w:t>
            </w:r>
          </w:p>
        </w:tc>
        <w:tc>
          <w:tcPr>
            <w:tcW w:w="2264" w:type="dxa"/>
            <w:tcBorders/>
          </w:tcPr>
          <w:p>
            <w:pPr>
              <w:pStyle w:val="Normal"/>
              <w:widowControl w:val="false"/>
              <w:suppressAutoHyphens w:val="true"/>
              <w:spacing w:before="60" w:after="60"/>
              <w:jc w:val="center"/>
              <w:rPr>
                <w:rFonts w:cs="Arial"/>
                <w:color w:themeColor="text1" w:val="000000"/>
              </w:rPr>
            </w:pPr>
            <w:r>
              <w:rPr>
                <w:rFonts w:eastAsia="Aptos" w:cs="Times New Roman"/>
                <w:color w:themeColor="text1" w:val="000000"/>
                <w:kern w:val="0"/>
                <w:sz w:val="22"/>
                <w:szCs w:val="22"/>
                <w:lang w:val="pl-PL" w:eastAsia="en-US" w:bidi="ar-SA"/>
              </w:rPr>
              <w:t>↓</w:t>
            </w:r>
          </w:p>
        </w:tc>
      </w:tr>
      <w:tr>
        <w:trPr/>
        <w:tc>
          <w:tcPr>
            <w:tcW w:w="2157" w:type="dxa"/>
            <w:tcBorders/>
          </w:tcPr>
          <w:p>
            <w:pPr>
              <w:pStyle w:val="Normal"/>
              <w:widowControl w:val="false"/>
              <w:suppressAutoHyphens w:val="true"/>
              <w:spacing w:lineRule="auto" w:line="276" w:before="60" w:after="60"/>
              <w:rPr>
                <w:rFonts w:cs="Arial"/>
              </w:rPr>
            </w:pPr>
            <w:r>
              <w:rPr>
                <w:rFonts w:eastAsia="Aptos" w:cs="Arial"/>
                <w:kern w:val="0"/>
                <w:sz w:val="22"/>
                <w:szCs w:val="22"/>
                <w:lang w:val="pl-PL" w:eastAsia="en-US" w:bidi="ar-SA"/>
              </w:rPr>
              <w:t>Liczba mieszkań komunalnych bez c.o. i c.w.u.</w:t>
            </w:r>
          </w:p>
        </w:tc>
        <w:tc>
          <w:tcPr>
            <w:tcW w:w="2657" w:type="dxa"/>
            <w:tcBorders/>
          </w:tcPr>
          <w:p>
            <w:pPr>
              <w:pStyle w:val="Normal"/>
              <w:widowControl w:val="false"/>
              <w:suppressAutoHyphens w:val="true"/>
              <w:spacing w:before="60" w:after="60"/>
              <w:jc w:val="center"/>
              <w:rPr>
                <w:rFonts w:cs="Arial"/>
                <w:color w:themeColor="text1" w:val="000000"/>
              </w:rPr>
            </w:pPr>
            <w:r>
              <w:rPr>
                <w:rFonts w:eastAsia="Aptos" w:cs="Arial"/>
                <w:color w:themeColor="text1" w:val="000000"/>
                <w:kern w:val="0"/>
                <w:sz w:val="22"/>
                <w:szCs w:val="22"/>
                <w:lang w:val="pl-PL" w:eastAsia="en-US" w:bidi="ar-SA"/>
              </w:rPr>
              <w:t>Spadek wartości wskaźnika</w:t>
            </w:r>
          </w:p>
        </w:tc>
        <w:tc>
          <w:tcPr>
            <w:tcW w:w="1988" w:type="dxa"/>
            <w:tcBorders/>
          </w:tcPr>
          <w:p>
            <w:pPr>
              <w:pStyle w:val="Normal"/>
              <w:widowControl w:val="false"/>
              <w:suppressAutoHyphens w:val="true"/>
              <w:spacing w:before="60" w:after="60"/>
              <w:jc w:val="center"/>
              <w:rPr>
                <w:rFonts w:cs="Arial"/>
              </w:rPr>
            </w:pPr>
            <w:r>
              <w:rPr>
                <w:rFonts w:eastAsia="Aptos" w:cs="Arial"/>
                <w:kern w:val="0"/>
                <w:sz w:val="22"/>
                <w:szCs w:val="22"/>
                <w:lang w:val="pl-PL" w:eastAsia="en-US" w:bidi="ar-SA"/>
              </w:rPr>
              <w:t>20 (2023)</w:t>
            </w:r>
          </w:p>
        </w:tc>
        <w:tc>
          <w:tcPr>
            <w:tcW w:w="2264" w:type="dxa"/>
            <w:tcBorders/>
          </w:tcPr>
          <w:p>
            <w:pPr>
              <w:pStyle w:val="Normal"/>
              <w:widowControl w:val="false"/>
              <w:suppressAutoHyphens w:val="true"/>
              <w:spacing w:before="60" w:after="60"/>
              <w:jc w:val="center"/>
              <w:rPr>
                <w:rFonts w:cs="Times New Roman"/>
                <w:color w:themeColor="text1" w:val="000000"/>
              </w:rPr>
            </w:pPr>
            <w:r>
              <w:rPr>
                <w:rFonts w:eastAsia="Aptos" w:cs="Times New Roman"/>
                <w:color w:themeColor="text1" w:val="000000"/>
                <w:kern w:val="0"/>
                <w:sz w:val="22"/>
                <w:szCs w:val="22"/>
                <w:lang w:val="pl-PL" w:eastAsia="en-US" w:bidi="ar-SA"/>
              </w:rPr>
              <w:t>↓</w:t>
            </w:r>
          </w:p>
        </w:tc>
      </w:tr>
      <w:tr>
        <w:trPr/>
        <w:tc>
          <w:tcPr>
            <w:tcW w:w="2157" w:type="dxa"/>
            <w:tcBorders/>
          </w:tcPr>
          <w:p>
            <w:pPr>
              <w:pStyle w:val="Normal"/>
              <w:widowControl w:val="false"/>
              <w:suppressAutoHyphens w:val="true"/>
              <w:spacing w:lineRule="auto" w:line="276" w:before="60" w:after="60"/>
              <w:jc w:val="start"/>
              <w:rPr>
                <w:rFonts w:eastAsia="Aptos" w:cs="Arial"/>
                <w:kern w:val="0"/>
              </w:rPr>
            </w:pPr>
            <w:r>
              <w:rPr>
                <w:rFonts w:eastAsia="Aptos" w:cs="Arial"/>
                <w:kern w:val="0"/>
                <w:sz w:val="22"/>
                <w:szCs w:val="22"/>
                <w:lang w:val="pl-PL" w:eastAsia="en-US" w:bidi="ar-SA"/>
              </w:rPr>
              <w:t>Powierzchnia nowo utworzonych lub zrewaloryzowanych terenów zieleni na obszarze rewitalizacji [m</w:t>
            </w:r>
            <w:r>
              <w:rPr>
                <w:rFonts w:eastAsia="Aptos" w:cs="Arial"/>
                <w:kern w:val="0"/>
                <w:sz w:val="22"/>
                <w:szCs w:val="22"/>
                <w:vertAlign w:val="superscript"/>
                <w:lang w:val="pl-PL" w:eastAsia="en-US" w:bidi="ar-SA"/>
              </w:rPr>
              <w:t>2</w:t>
            </w:r>
            <w:r>
              <w:rPr>
                <w:rFonts w:eastAsia="Aptos" w:cs="Arial"/>
                <w:kern w:val="0"/>
                <w:sz w:val="22"/>
                <w:szCs w:val="22"/>
                <w:lang w:val="pl-PL" w:eastAsia="en-US" w:bidi="ar-SA"/>
              </w:rPr>
              <w:t>]</w:t>
            </w:r>
          </w:p>
        </w:tc>
        <w:tc>
          <w:tcPr>
            <w:tcW w:w="2657" w:type="dxa"/>
            <w:tcBorders/>
          </w:tcPr>
          <w:p>
            <w:pPr>
              <w:pStyle w:val="Normal"/>
              <w:widowControl w:val="false"/>
              <w:suppressAutoHyphens w:val="true"/>
              <w:spacing w:before="60" w:after="60"/>
              <w:jc w:val="center"/>
              <w:rPr>
                <w:rFonts w:eastAsia="Aptos" w:cs="Arial"/>
                <w:color w:themeColor="text1" w:val="000000"/>
                <w:kern w:val="0"/>
              </w:rPr>
            </w:pPr>
            <w:r>
              <w:rPr>
                <w:rFonts w:eastAsia="Aptos" w:cs="Arial"/>
                <w:color w:themeColor="text1" w:val="000000"/>
                <w:kern w:val="0"/>
                <w:sz w:val="22"/>
                <w:szCs w:val="22"/>
                <w:lang w:val="pl-PL" w:eastAsia="en-US" w:bidi="ar-SA"/>
              </w:rPr>
              <w:t>Wzrost wartości wskaźnika</w:t>
            </w:r>
          </w:p>
        </w:tc>
        <w:tc>
          <w:tcPr>
            <w:tcW w:w="1988" w:type="dxa"/>
            <w:tcBorders/>
          </w:tcPr>
          <w:p>
            <w:pPr>
              <w:pStyle w:val="Normal"/>
              <w:widowControl w:val="false"/>
              <w:suppressAutoHyphens w:val="true"/>
              <w:spacing w:before="60" w:after="60"/>
              <w:jc w:val="center"/>
              <w:rPr>
                <w:rFonts w:eastAsia="Aptos" w:cs="Arial"/>
                <w:kern w:val="0"/>
              </w:rPr>
            </w:pPr>
            <w:r>
              <w:rPr>
                <w:rFonts w:eastAsia="Aptos" w:cs="Arial"/>
                <w:color w:themeColor="text1" w:val="000000"/>
                <w:kern w:val="0"/>
                <w:sz w:val="22"/>
                <w:szCs w:val="22"/>
                <w:lang w:val="pl-PL" w:eastAsia="en-US" w:bidi="ar-SA"/>
              </w:rPr>
              <w:t>0 (2025)*</w:t>
            </w:r>
          </w:p>
        </w:tc>
        <w:tc>
          <w:tcPr>
            <w:tcW w:w="2264" w:type="dxa"/>
            <w:tcBorders/>
          </w:tcPr>
          <w:p>
            <w:pPr>
              <w:pStyle w:val="Normal"/>
              <w:widowControl w:val="false"/>
              <w:suppressAutoHyphens w:val="true"/>
              <w:spacing w:before="60" w:after="60"/>
              <w:jc w:val="center"/>
              <w:rPr>
                <w:rFonts w:eastAsia="Aptos" w:cs="Times New Roman"/>
                <w:color w:themeColor="text1" w:val="000000"/>
                <w:kern w:val="0"/>
              </w:rPr>
            </w:pPr>
            <w:r>
              <w:rPr>
                <w:rFonts w:eastAsia="Aptos" w:cs="Times New Roman"/>
                <w:color w:themeColor="text1" w:val="000000"/>
                <w:kern w:val="0"/>
                <w:sz w:val="22"/>
                <w:szCs w:val="22"/>
                <w:lang w:val="pl-PL" w:eastAsia="en-US" w:bidi="ar-SA"/>
              </w:rPr>
              <w:t>↑</w:t>
            </w:r>
          </w:p>
        </w:tc>
      </w:tr>
      <w:tr>
        <w:trPr/>
        <w:tc>
          <w:tcPr>
            <w:tcW w:w="9066" w:type="dxa"/>
            <w:gridSpan w:val="4"/>
            <w:tcBorders/>
          </w:tcPr>
          <w:p>
            <w:pPr>
              <w:pStyle w:val="Normal"/>
              <w:widowControl w:val="false"/>
              <w:suppressAutoHyphens w:val="true"/>
              <w:spacing w:lineRule="auto" w:line="276" w:before="60" w:after="60"/>
              <w:jc w:val="center"/>
              <w:rPr>
                <w:rFonts w:eastAsia="CIDFont+F1" w:cs="Arial"/>
                <w:b/>
                <w:bCs/>
                <w:color w:themeColor="accent1" w:val="4472C4"/>
              </w:rPr>
            </w:pPr>
            <w:r>
              <w:rPr>
                <w:rFonts w:eastAsia="Aptos" w:cs="Arial"/>
                <w:b/>
                <w:bCs/>
                <w:color w:themeColor="accent1" w:val="4472C4"/>
                <w:kern w:val="0"/>
                <w:sz w:val="22"/>
                <w:szCs w:val="22"/>
                <w:lang w:val="pl-PL" w:eastAsia="en-US" w:bidi="ar-SA"/>
              </w:rPr>
              <w:t>Cel szczegółowy 3. Budowanie więzi mieszkańców z obszarem rewitalizacji poprzez jego estetyzację oraz podkreślanie tożsamości opartej na dziedzictwie i kulturze</w:t>
            </w:r>
          </w:p>
        </w:tc>
      </w:tr>
      <w:tr>
        <w:trPr/>
        <w:tc>
          <w:tcPr>
            <w:tcW w:w="2157" w:type="dxa"/>
            <w:tcBorders/>
          </w:tcPr>
          <w:p>
            <w:pPr>
              <w:pStyle w:val="Normal"/>
              <w:widowControl w:val="false"/>
              <w:suppressAutoHyphens w:val="true"/>
              <w:spacing w:lineRule="auto" w:line="276" w:before="60" w:after="60"/>
              <w:jc w:val="start"/>
              <w:rPr>
                <w:rFonts w:cs="Century Gothic"/>
                <w:color w:val="000000"/>
              </w:rPr>
            </w:pPr>
            <w:r>
              <w:rPr>
                <w:rFonts w:eastAsia="Aptos" w:cs="Century Gothic"/>
                <w:color w:val="000000"/>
                <w:kern w:val="0"/>
                <w:sz w:val="22"/>
                <w:szCs w:val="22"/>
                <w:lang w:val="pl-PL" w:eastAsia="en-US" w:bidi="ar-SA"/>
              </w:rPr>
              <w:t>Liczba utworzonych lub zmodernizowanych obiektów kulturalnych, turystycznych, rekreacyjnych, sportowych</w:t>
            </w:r>
          </w:p>
        </w:tc>
        <w:tc>
          <w:tcPr>
            <w:tcW w:w="2657" w:type="dxa"/>
            <w:tcBorders/>
          </w:tcPr>
          <w:p>
            <w:pPr>
              <w:pStyle w:val="Normal"/>
              <w:widowControl w:val="false"/>
              <w:suppressAutoHyphens w:val="true"/>
              <w:spacing w:before="60" w:after="60"/>
              <w:jc w:val="center"/>
              <w:rPr>
                <w:rFonts w:cs="Arial"/>
                <w:color w:themeColor="text1" w:val="000000"/>
              </w:rPr>
            </w:pPr>
            <w:r>
              <w:rPr>
                <w:rFonts w:eastAsia="Aptos" w:cs="Arial"/>
                <w:color w:themeColor="text1" w:val="000000"/>
                <w:kern w:val="0"/>
                <w:sz w:val="22"/>
                <w:szCs w:val="22"/>
                <w:lang w:val="pl-PL" w:eastAsia="en-US" w:bidi="ar-SA"/>
              </w:rPr>
              <w:t>Wzrost wartości wskaźnika</w:t>
            </w:r>
          </w:p>
        </w:tc>
        <w:tc>
          <w:tcPr>
            <w:tcW w:w="1988" w:type="dxa"/>
            <w:tcBorders/>
          </w:tcPr>
          <w:p>
            <w:pPr>
              <w:pStyle w:val="Normal"/>
              <w:widowControl w:val="false"/>
              <w:suppressAutoHyphens w:val="true"/>
              <w:spacing w:before="60" w:after="60"/>
              <w:jc w:val="center"/>
              <w:rPr>
                <w:rFonts w:cs="Arial"/>
              </w:rPr>
            </w:pPr>
            <w:r>
              <w:rPr>
                <w:rFonts w:eastAsia="Aptos" w:cs="Arial"/>
                <w:kern w:val="0"/>
                <w:sz w:val="22"/>
                <w:szCs w:val="22"/>
                <w:lang w:val="pl-PL" w:eastAsia="en-US" w:bidi="ar-SA"/>
              </w:rPr>
              <w:t>0 (2026)*</w:t>
            </w:r>
          </w:p>
        </w:tc>
        <w:tc>
          <w:tcPr>
            <w:tcW w:w="2264" w:type="dxa"/>
            <w:tcBorders/>
          </w:tcPr>
          <w:p>
            <w:pPr>
              <w:pStyle w:val="Normal"/>
              <w:widowControl w:val="false"/>
              <w:suppressAutoHyphens w:val="true"/>
              <w:spacing w:before="60" w:after="60"/>
              <w:jc w:val="center"/>
              <w:rPr>
                <w:rFonts w:cs="Times New Roman"/>
                <w:color w:themeColor="text1" w:val="000000"/>
              </w:rPr>
            </w:pPr>
            <w:r>
              <w:rPr>
                <w:rFonts w:eastAsia="Aptos" w:cs="Times New Roman"/>
                <w:color w:themeColor="text1" w:val="000000"/>
                <w:kern w:val="0"/>
                <w:sz w:val="22"/>
                <w:szCs w:val="22"/>
                <w:lang w:val="pl-PL" w:eastAsia="en-US" w:bidi="ar-SA"/>
              </w:rPr>
              <w:t>↑</w:t>
            </w:r>
          </w:p>
        </w:tc>
      </w:tr>
      <w:tr>
        <w:trPr/>
        <w:tc>
          <w:tcPr>
            <w:tcW w:w="2157" w:type="dxa"/>
            <w:tcBorders/>
          </w:tcPr>
          <w:p>
            <w:pPr>
              <w:pStyle w:val="Normal"/>
              <w:widowControl w:val="false"/>
              <w:suppressAutoHyphens w:val="true"/>
              <w:spacing w:lineRule="auto" w:line="276" w:before="60" w:after="60"/>
              <w:jc w:val="start"/>
              <w:rPr>
                <w:rFonts w:cs="Arial"/>
                <w:b/>
                <w:bCs/>
              </w:rPr>
            </w:pPr>
            <w:r>
              <w:rPr>
                <w:rFonts w:eastAsia="Aptos" w:cs="Century Gothic"/>
                <w:color w:val="000000"/>
                <w:kern w:val="0"/>
                <w:sz w:val="22"/>
                <w:szCs w:val="22"/>
                <w:lang w:val="pl-PL" w:eastAsia="en-US" w:bidi="ar-SA"/>
              </w:rPr>
              <w:t>Liczba wydarzeń o charakterze kulturalnym skierowanych do mieszkańców, zorganizowanych w ramach przedsięwzięć rewitalizacyjnych</w:t>
            </w:r>
          </w:p>
        </w:tc>
        <w:tc>
          <w:tcPr>
            <w:tcW w:w="2657" w:type="dxa"/>
            <w:tcBorders/>
          </w:tcPr>
          <w:p>
            <w:pPr>
              <w:pStyle w:val="Normal"/>
              <w:widowControl w:val="false"/>
              <w:suppressAutoHyphens w:val="true"/>
              <w:spacing w:before="60" w:after="60"/>
              <w:jc w:val="center"/>
              <w:rPr>
                <w:rFonts w:cs="Arial"/>
                <w:color w:themeColor="text1" w:val="000000"/>
              </w:rPr>
            </w:pPr>
            <w:r>
              <w:rPr>
                <w:rFonts w:eastAsia="Aptos" w:cs="Arial"/>
                <w:color w:themeColor="text1" w:val="000000"/>
                <w:kern w:val="0"/>
                <w:sz w:val="22"/>
                <w:szCs w:val="22"/>
                <w:lang w:val="pl-PL" w:eastAsia="en-US" w:bidi="ar-SA"/>
              </w:rPr>
              <w:t>Wzrost wartości wskaźnika</w:t>
            </w:r>
          </w:p>
        </w:tc>
        <w:tc>
          <w:tcPr>
            <w:tcW w:w="1988" w:type="dxa"/>
            <w:tcBorders/>
          </w:tcPr>
          <w:p>
            <w:pPr>
              <w:pStyle w:val="Normal"/>
              <w:widowControl w:val="false"/>
              <w:suppressAutoHyphens w:val="true"/>
              <w:spacing w:before="60" w:after="60"/>
              <w:jc w:val="center"/>
              <w:rPr>
                <w:rFonts w:cs="Arial"/>
                <w:color w:themeColor="text1" w:val="000000"/>
              </w:rPr>
            </w:pPr>
            <w:r>
              <w:rPr>
                <w:rFonts w:eastAsia="Aptos" w:cs="Arial"/>
                <w:kern w:val="0"/>
                <w:sz w:val="22"/>
                <w:szCs w:val="22"/>
                <w:lang w:val="pl-PL" w:eastAsia="en-US" w:bidi="ar-SA"/>
              </w:rPr>
              <w:t>0 (2026)*</w:t>
            </w:r>
          </w:p>
        </w:tc>
        <w:tc>
          <w:tcPr>
            <w:tcW w:w="2264" w:type="dxa"/>
            <w:tcBorders/>
          </w:tcPr>
          <w:p>
            <w:pPr>
              <w:pStyle w:val="Normal"/>
              <w:widowControl w:val="false"/>
              <w:suppressAutoHyphens w:val="true"/>
              <w:spacing w:before="60" w:after="60"/>
              <w:jc w:val="center"/>
              <w:rPr>
                <w:rFonts w:cs="Arial"/>
                <w:color w:themeColor="text1" w:val="000000"/>
              </w:rPr>
            </w:pPr>
            <w:r>
              <w:rPr>
                <w:rFonts w:eastAsia="Aptos" w:cs="Times New Roman"/>
                <w:color w:themeColor="text1" w:val="000000"/>
                <w:kern w:val="0"/>
                <w:sz w:val="22"/>
                <w:szCs w:val="22"/>
                <w:lang w:val="pl-PL" w:eastAsia="en-US" w:bidi="ar-SA"/>
              </w:rPr>
              <w:t>↑</w:t>
            </w:r>
          </w:p>
        </w:tc>
      </w:tr>
      <w:tr>
        <w:trPr/>
        <w:tc>
          <w:tcPr>
            <w:tcW w:w="2157" w:type="dxa"/>
            <w:tcBorders/>
          </w:tcPr>
          <w:p>
            <w:pPr>
              <w:pStyle w:val="Normal"/>
              <w:widowControl w:val="false"/>
              <w:suppressAutoHyphens w:val="true"/>
              <w:spacing w:lineRule="auto" w:line="276" w:before="60" w:after="60"/>
              <w:jc w:val="start"/>
              <w:rPr>
                <w:rFonts w:cs="Arial"/>
                <w:b/>
                <w:bCs/>
              </w:rPr>
            </w:pPr>
            <w:r>
              <w:rPr>
                <w:rFonts w:eastAsia="Aptos" w:cs="Century Gothic"/>
                <w:color w:val="000000"/>
                <w:kern w:val="0"/>
                <w:sz w:val="22"/>
                <w:szCs w:val="22"/>
                <w:lang w:val="pl-PL" w:eastAsia="en-US" w:bidi="ar-SA"/>
              </w:rPr>
              <w:t>Liczba mieszkańców uczestniczących w wydarzeniach o charakterze kulturalnym organizowanych w ramach przedsięwzięć rewitalizacyjnych</w:t>
            </w:r>
          </w:p>
        </w:tc>
        <w:tc>
          <w:tcPr>
            <w:tcW w:w="2657" w:type="dxa"/>
            <w:tcBorders/>
          </w:tcPr>
          <w:p>
            <w:pPr>
              <w:pStyle w:val="Normal"/>
              <w:widowControl w:val="false"/>
              <w:suppressAutoHyphens w:val="true"/>
              <w:spacing w:before="60" w:after="60"/>
              <w:jc w:val="center"/>
              <w:rPr>
                <w:rFonts w:cs="Arial"/>
                <w:color w:themeColor="text1" w:val="000000"/>
              </w:rPr>
            </w:pPr>
            <w:r>
              <w:rPr>
                <w:rFonts w:eastAsia="Aptos" w:cs="Arial"/>
                <w:color w:themeColor="text1" w:val="000000"/>
                <w:kern w:val="0"/>
                <w:sz w:val="22"/>
                <w:szCs w:val="22"/>
                <w:lang w:val="pl-PL" w:eastAsia="en-US" w:bidi="ar-SA"/>
              </w:rPr>
              <w:t>Wzrost wartości wskaźnika</w:t>
            </w:r>
          </w:p>
        </w:tc>
        <w:tc>
          <w:tcPr>
            <w:tcW w:w="1988" w:type="dxa"/>
            <w:tcBorders/>
          </w:tcPr>
          <w:p>
            <w:pPr>
              <w:pStyle w:val="Normal"/>
              <w:widowControl w:val="false"/>
              <w:suppressAutoHyphens w:val="true"/>
              <w:spacing w:before="60" w:after="60"/>
              <w:jc w:val="center"/>
              <w:rPr>
                <w:rFonts w:cs="Arial"/>
                <w:color w:themeColor="text1" w:val="000000"/>
              </w:rPr>
            </w:pPr>
            <w:r>
              <w:rPr>
                <w:rFonts w:eastAsia="Aptos" w:cs="Arial"/>
                <w:kern w:val="0"/>
                <w:sz w:val="22"/>
                <w:szCs w:val="22"/>
                <w:lang w:val="pl-PL" w:eastAsia="en-US" w:bidi="ar-SA"/>
              </w:rPr>
              <w:t>0 (2026)*</w:t>
            </w:r>
          </w:p>
        </w:tc>
        <w:tc>
          <w:tcPr>
            <w:tcW w:w="2264" w:type="dxa"/>
            <w:tcBorders/>
          </w:tcPr>
          <w:p>
            <w:pPr>
              <w:pStyle w:val="Normal"/>
              <w:widowControl w:val="false"/>
              <w:suppressAutoHyphens w:val="true"/>
              <w:spacing w:before="60" w:after="60"/>
              <w:jc w:val="center"/>
              <w:rPr>
                <w:rFonts w:cs="Arial"/>
                <w:color w:themeColor="text1" w:val="000000"/>
              </w:rPr>
            </w:pPr>
            <w:r>
              <w:rPr>
                <w:rFonts w:eastAsia="Aptos" w:cs="Times New Roman"/>
                <w:color w:themeColor="text1" w:val="000000"/>
                <w:kern w:val="0"/>
                <w:sz w:val="22"/>
                <w:szCs w:val="22"/>
                <w:lang w:val="pl-PL" w:eastAsia="en-US" w:bidi="ar-SA"/>
              </w:rPr>
              <w:t>↑</w:t>
            </w:r>
          </w:p>
        </w:tc>
      </w:tr>
    </w:tbl>
    <w:p>
      <w:pPr>
        <w:pStyle w:val="Normal"/>
        <w:rPr/>
      </w:pPr>
      <w:r>
        <w:rPr/>
      </w:r>
    </w:p>
    <w:p>
      <w:pPr>
        <w:pStyle w:val="Normal"/>
        <w:rPr/>
      </w:pPr>
      <w:r>
        <w:rPr/>
        <w:t xml:space="preserve">Opracowanie rocznego raportu dotyczącego stanu realizacji </w:t>
      </w:r>
      <w:r>
        <w:rPr>
          <w:i/>
          <w:iCs/>
        </w:rPr>
        <w:t>Gminnego Programu Rewitalizacji Gminy Nowe Miasteczko do roku 2035</w:t>
      </w:r>
      <w:r>
        <w:rPr/>
        <w:t xml:space="preserve"> będzie spoczywać na Zespole do spraw rewitalizacji, tj. zespole roboczym powołanym przez Burmistrza Gminy i Miasta Nowe Miasteczko, przy jednoczesnej wiodącej roli koordynatora tego zespołu, który odpowiadać będzie za zebranie oraz usystematyzowanie niezbędnych dla jego powstania danych i informacji.</w:t>
      </w:r>
    </w:p>
    <w:p>
      <w:pPr>
        <w:pStyle w:val="Normal"/>
        <w:rPr/>
      </w:pPr>
      <w:r>
        <w:rPr/>
      </w:r>
    </w:p>
    <w:p>
      <w:pPr>
        <w:pStyle w:val="Heading2"/>
        <w:rPr/>
      </w:pPr>
      <w:bookmarkStart w:id="95" w:name="_Toc216991190"/>
      <w:r>
        <w:rPr/>
        <w:t>11.2. Ocena aktualności i stopnia realizacji programu</w:t>
      </w:r>
      <w:bookmarkEnd w:id="95"/>
    </w:p>
    <w:p>
      <w:pPr>
        <w:pStyle w:val="Normal"/>
        <w:rPr/>
      </w:pPr>
      <w:r>
        <w:rPr/>
        <w:t xml:space="preserve">Ocena aktualności i stopnia realizacji </w:t>
      </w:r>
      <w:r>
        <w:rPr>
          <w:i/>
          <w:iCs/>
        </w:rPr>
        <w:t>Gminnego Programu Rewitalizacji Gminy Nowe Miasteczko do roku 2035</w:t>
      </w:r>
      <w:r>
        <w:rPr/>
        <w:t xml:space="preserve"> będzie następować co trzy lata, zgodnie z art. 22 ust. 1 ustawy o rewitalizacji. Pierwsza ocena zostanie sporządzona w 2028 r.</w:t>
      </w:r>
    </w:p>
    <w:p>
      <w:pPr>
        <w:pStyle w:val="Normal"/>
        <w:rPr/>
      </w:pPr>
      <w:r>
        <w:rPr/>
        <w:t xml:space="preserve">W ocenie znajdzie się pogłębiona analiza rocznych raportów o stanie realizacji </w:t>
      </w:r>
      <w:r>
        <w:rPr>
          <w:i/>
          <w:iCs/>
        </w:rPr>
        <w:t>Programu</w:t>
      </w:r>
      <w:r>
        <w:rPr/>
        <w:t xml:space="preserve">: stopnia osiągnięcia wskaźników, jak i danych dotyczących kosztów oraz harmonogramu wdrażania poszczególnych przedsięwzięć. Dokument ten powinien obejmować ocenę prowadzonego procesu rewitalizacji, tak aby możliwe było sformułowanie wniosków w zakresie trafności i aktualności treści GPR (np. odnośnie do tego, jak sprawdza się zaplanowany system zarządzania) oraz potrzeby ewentualnych zmian. Zasadne w tym celu będzie wykorzystanie jakościowych metod badawczych. Są to np. spotkania Zespołu ds. Rewitalizacji z udziałem podmiotów odpowiedzialnych za realizację przedsięwzięć, wywiady indywidualne i fokusowe z interesariuszami procesu rewitalizacji, spacery badawcze itd. </w:t>
      </w:r>
    </w:p>
    <w:p>
      <w:pPr>
        <w:pStyle w:val="Normal"/>
        <w:rPr/>
      </w:pPr>
      <w:r>
        <w:rPr/>
        <w:t xml:space="preserve">W prowadzonej raz na trzy lata ocenie aktualności i stopnia realizacji GPR planuje się uwzględniać wnioski z badania społecznego, które ma na celu ocenę realizacji przedsięwzięć rewitalizacyjnych. Badanie to zostało ujęte w opisach podstawowych przedsięwzięć rewitalizacyjnych w odniesieniu do sposobów oceny ich rezultatów. Wnioski z badania, prowadzonego np. w formie ankiet lub wywiadów z mieszkańcami, pozwolą m.in. na ocenę stanu zagospodarowania i użyteczności przestrzeni publicznych, dostępności obiektów użyteczności publicznej, efektów procesu rewitalizacji. Pytania w badaniu społecznym będą powiązane z zakładanymi w GPR sposobami oceny rezultatów przedsięwzięć rewitalizacyjnych. Planuje się także uwzględnienie w badaniu społecznym pytania o poziom zadowolenia mieszkańców z procesu rewitalizacji. </w:t>
      </w:r>
    </w:p>
    <w:p>
      <w:pPr>
        <w:pStyle w:val="Normal"/>
        <w:rPr/>
      </w:pPr>
      <w:r>
        <w:rPr/>
        <w:t xml:space="preserve">Inne sugerowane elementy oceny aktualności i stopnia realizacji </w:t>
      </w:r>
      <w:r>
        <w:rPr>
          <w:i/>
          <w:iCs/>
        </w:rPr>
        <w:t>Programu</w:t>
      </w:r>
      <w:r>
        <w:rPr/>
        <w:t xml:space="preserve"> to np.: wykaz przedsięwzięć rewitalizacyjnych, których realizacja została zakończona, czy też jest w trakcie lub nie została rozpoczęta; analiza potrzeb i zasobów instytucjonalnych (również po stronie partnerów spoza sektora publicznego) koniecznych do zarządzania procesem rewitalizacji; a także identyfikacja barier i priorytetów w kontekście pozostałych lat wdrażania GPR. </w:t>
      </w:r>
    </w:p>
    <w:p>
      <w:pPr>
        <w:pStyle w:val="Normal"/>
        <w:rPr/>
      </w:pPr>
      <w:r>
        <w:rPr/>
        <w:t xml:space="preserve">Podobnie jak w przypadku rocznych raportów, za sporządzenie oceny aktualności i stopnia realizacji </w:t>
      </w:r>
      <w:r>
        <w:rPr>
          <w:i/>
          <w:iCs/>
        </w:rPr>
        <w:t xml:space="preserve">Gminnego Programu Rewitalizacji Gminy Nowe Miasteczko do roku 2035 </w:t>
      </w:r>
      <w:r>
        <w:rPr/>
        <w:t>będzie odpowiedzialny Zespół ds. Rewitalizacji. Ocena będzie przedkładana przez Burmistrza Gminy i Miasta Nowe Miasteczko Komitetowi Rewitalizacji. Zadaniem Komitetu będzie m.in. dokonanie oceny, czy w kontekście postępów realizacji GPR i osiąganych efektów istnieje konieczność jego aktualizacji.</w:t>
      </w:r>
    </w:p>
    <w:p>
      <w:pPr>
        <w:pStyle w:val="Normal"/>
        <w:rPr/>
      </w:pPr>
      <w:r>
        <w:rPr/>
      </w:r>
    </w:p>
    <w:p>
      <w:pPr>
        <w:pStyle w:val="Normal"/>
        <w:rPr/>
      </w:pPr>
      <w:r>
        <w:rPr/>
      </w:r>
      <w:r>
        <w:br w:type="page"/>
      </w:r>
    </w:p>
    <w:p>
      <w:pPr>
        <w:pStyle w:val="Heading1"/>
        <w:spacing w:before="0" w:after="80"/>
        <w:rPr/>
      </w:pPr>
      <w:bookmarkStart w:id="96" w:name="_Toc216991191"/>
      <w:r>
        <w:rPr/>
        <w:t>12. ZMIANY ZWIĄZANE Z WDRAŻANIEM PROGRAMU</w:t>
      </w:r>
      <w:bookmarkEnd w:id="96"/>
    </w:p>
    <w:p>
      <w:pPr>
        <w:pStyle w:val="Heading2"/>
        <w:rPr/>
      </w:pPr>
      <w:bookmarkStart w:id="97" w:name="_Toc216991192"/>
      <w:r>
        <w:rPr/>
        <w:t>12.1. Zmiany w uchwałach dotyczących polityki mieszkaniowej gminy</w:t>
      </w:r>
      <w:bookmarkEnd w:id="97"/>
    </w:p>
    <w:p>
      <w:pPr>
        <w:pStyle w:val="Normal"/>
        <w:rPr/>
      </w:pPr>
      <w:r>
        <w:rPr/>
        <w:t xml:space="preserve">W związku z realizacją postanowień </w:t>
      </w:r>
      <w:r>
        <w:rPr>
          <w:i/>
          <w:iCs/>
        </w:rPr>
        <w:t xml:space="preserve">Gminnego Programu Rewitalizacji Gminy Nowe Miasteczko do roku 2035 </w:t>
      </w:r>
      <w:r>
        <w:rPr/>
        <w:t>nie przewiduje się konieczności wprowadzania zmian w Uchwale nr XXVIII/177/2021 Rady Miejskiej w Nowym Miasteczku z dnia 29 marca 2021 r. w sprawie zasad wynajmowania lokali wchodzących w skład mieszkaniowego zasobu Gminy Nowe Miasteczko.</w:t>
      </w:r>
    </w:p>
    <w:p>
      <w:pPr>
        <w:pStyle w:val="Heading2"/>
        <w:rPr/>
      </w:pPr>
      <w:bookmarkStart w:id="98" w:name="_Toc216991193"/>
      <w:r>
        <w:rPr/>
        <w:t>12.2. Specjalna Strefa Rewitalizacji</w:t>
      </w:r>
      <w:bookmarkEnd w:id="98"/>
    </w:p>
    <w:p>
      <w:pPr>
        <w:pStyle w:val="Normal"/>
        <w:rPr>
          <w:highlight w:val="yellow"/>
        </w:rPr>
      </w:pPr>
      <w:r>
        <w:rPr/>
        <w:t xml:space="preserve">W związku z realizacją postanowień </w:t>
      </w:r>
      <w:r>
        <w:rPr>
          <w:i/>
          <w:iCs/>
        </w:rPr>
        <w:t xml:space="preserve">Gminnego Programu Rewitalizacji Gminy Nowe Miasteczko do roku 2035 </w:t>
      </w:r>
      <w:r>
        <w:rPr/>
        <w:t>nie przewiduje się konieczności ustanowienia Specjalnej Strefy Rewitalizacji, o której mowa w art. 25 ustawy o rewitalizacji.</w:t>
      </w:r>
      <w:r>
        <w:br w:type="page"/>
      </w:r>
    </w:p>
    <w:p>
      <w:pPr>
        <w:pStyle w:val="Heading1"/>
        <w:spacing w:before="0" w:after="80"/>
        <w:rPr/>
      </w:pPr>
      <w:bookmarkStart w:id="99" w:name="_Toc216991194"/>
      <w:r>
        <w:rPr/>
        <w:t>13. SPOSÓB REALIZACJI GMINNEGO PROGRAMU REWITALIZACJI W ZAKRESIE PLANOWANIA I ZAGOSPODAROWANIA PRZESTRZENNEGO</w:t>
      </w:r>
      <w:bookmarkEnd w:id="99"/>
    </w:p>
    <w:p>
      <w:pPr>
        <w:pStyle w:val="Heading2"/>
        <w:rPr/>
      </w:pPr>
      <w:bookmarkStart w:id="100" w:name="_Toc216991195"/>
      <w:r>
        <w:rPr/>
        <w:t>13.1. Wskazanie zakresu niezbędnych zmian w planie ogólnym gminy</w:t>
      </w:r>
      <w:bookmarkEnd w:id="100"/>
    </w:p>
    <w:p>
      <w:pPr>
        <w:pStyle w:val="Normal"/>
        <w:rPr/>
      </w:pPr>
      <w:r>
        <w:rPr/>
        <w:t>Na etapie prac nad Gminnym Programem Rewitalizacji Gminy Nowe Miasteczko do roku 2035 nie obowiązywał plan ogólny, tym samym GPR nie może wskazywać ewentualnych zmian w takim planie. W ramach toczących się prac nad planem ogólnym dopilnowane zostanie zapewnienie spójności między GPR a przyszłym Planem Ogólnym Gminy Nowe Miasteczko.</w:t>
      </w:r>
    </w:p>
    <w:p>
      <w:pPr>
        <w:pStyle w:val="Normal"/>
        <w:rPr/>
      </w:pPr>
      <w:r>
        <w:rPr/>
      </w:r>
    </w:p>
    <w:p>
      <w:pPr>
        <w:pStyle w:val="Heading2"/>
        <w:rPr/>
      </w:pPr>
      <w:bookmarkStart w:id="101" w:name="_Toc216991196"/>
      <w:r>
        <w:rPr/>
        <w:t>13.2. Wskazanie miejscowych planów zagospodarowania przestrzennego koniecznych do uchwalenia albo zmiany</w:t>
      </w:r>
      <w:bookmarkEnd w:id="101"/>
    </w:p>
    <w:p>
      <w:pPr>
        <w:pStyle w:val="Normal"/>
        <w:rPr/>
      </w:pPr>
      <w:r>
        <w:rPr/>
        <w:t>Planowane działania rewitalizacyjne co do zasady nie zmieniają funkcjonalności obszarów, których dotyczą, zatem nie zachodzi konieczność uchwalenia albo zmiany planów zagospodarowania przestrzennego.</w:t>
      </w:r>
    </w:p>
    <w:p>
      <w:pPr>
        <w:pStyle w:val="Normal"/>
        <w:rPr>
          <w:color w:themeColor="accent2" w:val="ED7D31"/>
        </w:rPr>
      </w:pPr>
      <w:r>
        <w:rPr>
          <w:color w:themeColor="accent2" w:val="ED7D31"/>
        </w:rPr>
      </w:r>
    </w:p>
    <w:p>
      <w:pPr>
        <w:pStyle w:val="Heading2"/>
        <w:rPr/>
      </w:pPr>
      <w:bookmarkStart w:id="102" w:name="_Toc216991197"/>
      <w:r>
        <w:rPr/>
        <w:t>13.3. Miejscowy Plan Rewitalizacji</w:t>
      </w:r>
      <w:bookmarkEnd w:id="102"/>
    </w:p>
    <w:p>
      <w:pPr>
        <w:pStyle w:val="Normal"/>
        <w:rPr/>
      </w:pPr>
      <w:r>
        <w:rPr/>
        <w:t>Nie przewiduje się uchwalenia miejscowego planu rewitalizacji.</w:t>
      </w:r>
    </w:p>
    <w:p>
      <w:pPr>
        <w:pStyle w:val="Normal"/>
        <w:rPr/>
      </w:pPr>
      <w:r>
        <w:rPr/>
      </w:r>
    </w:p>
    <w:p>
      <w:pPr>
        <w:pStyle w:val="Normal"/>
        <w:rPr/>
      </w:pPr>
      <w:r>
        <w:rPr/>
      </w:r>
    </w:p>
    <w:p>
      <w:pPr>
        <w:pStyle w:val="Normal"/>
        <w:rPr/>
      </w:pPr>
      <w:r>
        <w:rPr/>
      </w:r>
    </w:p>
    <w:p>
      <w:pPr>
        <w:pStyle w:val="Normal"/>
        <w:rPr/>
      </w:pPr>
      <w:r>
        <w:rPr/>
      </w:r>
      <w:r>
        <w:br w:type="page"/>
      </w:r>
    </w:p>
    <w:p>
      <w:pPr>
        <w:pStyle w:val="Heading1"/>
        <w:spacing w:before="0" w:after="80"/>
        <w:rPr/>
      </w:pPr>
      <w:bookmarkStart w:id="103" w:name="_Toc216991198"/>
      <w:r>
        <w:rPr/>
        <w:t>SPIS TABEL</w:t>
      </w:r>
      <w:bookmarkEnd w:id="103"/>
    </w:p>
    <w:p>
      <w:pPr>
        <w:pStyle w:val="TableofFigures"/>
        <w:tabs>
          <w:tab w:val="clear" w:pos="708"/>
          <w:tab w:val="right" w:pos="9062" w:leader="dot"/>
        </w:tabs>
        <w:rPr>
          <w:rFonts w:eastAsia="" w:eastAsiaTheme="minorEastAsia"/>
          <w:sz w:val="24"/>
          <w:szCs w:val="24"/>
          <w:lang w:eastAsia="pl-PL"/>
        </w:rPr>
      </w:pPr>
      <w:r>
        <w:fldChar w:fldCharType="begin"/>
      </w:r>
      <w:r>
        <w:rPr>
          <w:rStyle w:val="czeindeksu"/>
        </w:rPr>
        <w:instrText xml:space="preserve"> TOC \c \h \t "Tabele" </w:instrText>
      </w:r>
      <w:r>
        <w:rPr>
          <w:rStyle w:val="czeindeksu"/>
        </w:rPr>
        <w:fldChar w:fldCharType="separate"/>
      </w:r>
      <w:hyperlink w:anchor="_Toc216991203">
        <w:r>
          <w:rPr>
            <w:rStyle w:val="czeindeksu"/>
          </w:rPr>
          <w:t>Tabela 1. Powierzchnia i liczba ludności obszaru rewitalizacji na tle Gminy Nowe Miasteczko (2024)</w:t>
        </w:r>
        <w:r>
          <w:rPr>
            <w:webHidden/>
          </w:rPr>
          <w:fldChar w:fldCharType="begin"/>
        </w:r>
        <w:r>
          <w:rPr>
            <w:webHidden/>
          </w:rPr>
          <w:instrText xml:space="preserve">PAGEREF _Toc216991203 \h</w:instrText>
        </w:r>
        <w:r>
          <w:rPr>
            <w:webHidden/>
          </w:rPr>
          <w:fldChar w:fldCharType="separate"/>
        </w:r>
        <w:r>
          <w:rPr>
            <w:rStyle w:val="czeindeksu"/>
          </w:rPr>
          <w:tab/>
          <w:t>11</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04">
        <w:r>
          <w:rPr>
            <w:webHidden/>
          </w:rPr>
          <w:fldChar w:fldCharType="begin"/>
        </w:r>
        <w:r>
          <w:rPr>
            <w:webHidden/>
          </w:rPr>
          <w:instrText xml:space="preserve">PAGEREF _Toc216991204 \h</w:instrText>
        </w:r>
        <w:r>
          <w:rPr>
            <w:webHidden/>
          </w:rPr>
          <w:fldChar w:fldCharType="separate"/>
        </w:r>
        <w:r>
          <w:rPr>
            <w:rStyle w:val="czeindeksu"/>
          </w:rPr>
          <w:t>Tabela 2. Wartości wskaźników dotyczących pomocy społecznej na obszarze rewitalizacji w Gminie Nowe Miasteczko</w:t>
          <w:tab/>
          <w:t>17</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05">
        <w:r>
          <w:rPr>
            <w:webHidden/>
          </w:rPr>
          <w:fldChar w:fldCharType="begin"/>
        </w:r>
        <w:r>
          <w:rPr>
            <w:webHidden/>
          </w:rPr>
          <w:instrText xml:space="preserve">PAGEREF _Toc216991205 \h</w:instrText>
        </w:r>
        <w:r>
          <w:rPr>
            <w:webHidden/>
          </w:rPr>
          <w:fldChar w:fldCharType="separate"/>
        </w:r>
        <w:r>
          <w:rPr>
            <w:rStyle w:val="czeindeksu"/>
          </w:rPr>
          <w:t>Tabela 3. Wybrane wskaźniki ilustrujące kryzysową sytuację w sferze technicznej na obszarze rewitalizacji w Nowym Miasteczku (2024)</w:t>
          <w:tab/>
          <w:t>42</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06">
        <w:r>
          <w:rPr>
            <w:webHidden/>
          </w:rPr>
          <w:fldChar w:fldCharType="begin"/>
        </w:r>
        <w:r>
          <w:rPr>
            <w:webHidden/>
          </w:rPr>
          <w:instrText xml:space="preserve">PAGEREF _Toc216991206 \h</w:instrText>
        </w:r>
        <w:r>
          <w:rPr>
            <w:webHidden/>
          </w:rPr>
          <w:fldChar w:fldCharType="separate"/>
        </w:r>
        <w:r>
          <w:rPr>
            <w:rStyle w:val="czeindeksu"/>
          </w:rPr>
          <w:t>Tabela 4. Szacowane koszty realizacji podstawowych przedsięwzięć rewitalizacyjnych wynikających z GPR</w:t>
          <w:tab/>
          <w:t>87</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07">
        <w:r>
          <w:rPr>
            <w:webHidden/>
          </w:rPr>
          <w:fldChar w:fldCharType="begin"/>
        </w:r>
        <w:r>
          <w:rPr>
            <w:webHidden/>
          </w:rPr>
          <w:instrText xml:space="preserve">PAGEREF _Toc216991207 \h</w:instrText>
        </w:r>
        <w:r>
          <w:rPr>
            <w:webHidden/>
          </w:rPr>
          <w:fldChar w:fldCharType="separate"/>
        </w:r>
        <w:r>
          <w:rPr>
            <w:rStyle w:val="czeindeksu"/>
          </w:rPr>
          <w:t>Tabela 5. Koszty zarządzania realizacją GPR</w:t>
          <w:tab/>
          <w:t>97</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08">
        <w:r>
          <w:rPr>
            <w:webHidden/>
          </w:rPr>
          <w:fldChar w:fldCharType="begin"/>
        </w:r>
        <w:r>
          <w:rPr>
            <w:webHidden/>
          </w:rPr>
          <w:instrText xml:space="preserve">PAGEREF _Toc216991208 \h</w:instrText>
        </w:r>
        <w:r>
          <w:rPr>
            <w:webHidden/>
          </w:rPr>
          <w:fldChar w:fldCharType="separate"/>
        </w:r>
        <w:r>
          <w:rPr>
            <w:rStyle w:val="czeindeksu"/>
          </w:rPr>
          <w:t>Tabela 6. Ramowy harmonogram realizacji Gminnego Programu Rewitalizacji Gminy Nowe Miasteczko do roku 2035</w:t>
          <w:tab/>
          <w:t>98</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09">
        <w:r>
          <w:rPr>
            <w:webHidden/>
          </w:rPr>
          <w:fldChar w:fldCharType="begin"/>
        </w:r>
        <w:r>
          <w:rPr>
            <w:webHidden/>
          </w:rPr>
          <w:instrText xml:space="preserve">PAGEREF _Toc216991209 \h</w:instrText>
        </w:r>
        <w:r>
          <w:rPr>
            <w:webHidden/>
          </w:rPr>
          <w:fldChar w:fldCharType="separate"/>
        </w:r>
        <w:r>
          <w:rPr>
            <w:rStyle w:val="czeindeksu"/>
          </w:rPr>
          <w:t>Tabela 7. Lista wskaźników wykorzystywanych do rocznej oceny stanu realizacji GPR</w:t>
          <w:tab/>
          <w:t>104</w:t>
        </w:r>
        <w:r>
          <w:rPr>
            <w:webHidden/>
          </w:rPr>
          <w:fldChar w:fldCharType="end"/>
        </w:r>
      </w:hyperlink>
      <w:r>
        <w:rPr>
          <w:rStyle w:val="czeindeksu"/>
        </w:rPr>
        <w:fldChar w:fldCharType="end"/>
      </w:r>
    </w:p>
    <w:p>
      <w:pPr>
        <w:pStyle w:val="TableofFigures"/>
        <w:tabs>
          <w:tab w:val="clear" w:pos="708"/>
          <w:tab w:val="right" w:pos="9062" w:leader="dot"/>
        </w:tabs>
        <w:rPr>
          <w:rFonts w:eastAsia="" w:eastAsiaTheme="minorEastAsia"/>
          <w:sz w:val="24"/>
          <w:szCs w:val="24"/>
          <w:lang w:eastAsia="pl-PL"/>
        </w:rPr>
      </w:pPr>
      <w:r>
        <w:rPr>
          <w:rFonts w:eastAsia="" w:eastAsiaTheme="minorEastAsia"/>
          <w:sz w:val="24"/>
          <w:szCs w:val="24"/>
          <w:lang w:eastAsia="pl-PL"/>
        </w:rPr>
      </w:r>
    </w:p>
    <w:p>
      <w:pPr>
        <w:pStyle w:val="Normal"/>
        <w:rPr/>
      </w:pPr>
      <w:r>
        <w:rPr/>
      </w:r>
      <w:r>
        <w:br w:type="page"/>
      </w:r>
    </w:p>
    <w:p>
      <w:pPr>
        <w:pStyle w:val="Heading1"/>
        <w:spacing w:before="0" w:after="80"/>
        <w:rPr/>
      </w:pPr>
      <w:bookmarkStart w:id="104" w:name="_Toc216991199"/>
      <w:r>
        <w:rPr/>
        <w:t>SPIS RYCIN</w:t>
      </w:r>
      <w:bookmarkEnd w:id="104"/>
    </w:p>
    <w:p>
      <w:pPr>
        <w:pStyle w:val="TableofFigures"/>
        <w:tabs>
          <w:tab w:val="clear" w:pos="708"/>
          <w:tab w:val="right" w:pos="9062" w:leader="dot"/>
        </w:tabs>
        <w:rPr>
          <w:rFonts w:eastAsia="" w:eastAsiaTheme="minorEastAsia"/>
          <w:sz w:val="24"/>
          <w:szCs w:val="24"/>
          <w:lang w:eastAsia="pl-PL"/>
        </w:rPr>
      </w:pPr>
      <w:r>
        <w:fldChar w:fldCharType="begin"/>
      </w:r>
      <w:r>
        <w:rPr>
          <w:rStyle w:val="czeindeksu"/>
        </w:rPr>
        <w:instrText xml:space="preserve"> TOC \c \h \t "Ryciny" </w:instrText>
      </w:r>
      <w:r>
        <w:rPr>
          <w:rStyle w:val="czeindeksu"/>
        </w:rPr>
        <w:fldChar w:fldCharType="separate"/>
      </w:r>
      <w:hyperlink w:anchor="_Toc216991210">
        <w:r>
          <w:rPr>
            <w:rStyle w:val="czeindeksu"/>
          </w:rPr>
          <w:t>Rycina 1. Granice obszaru rewitalizacji obejmującego część Nowego Miasteczka</w:t>
        </w:r>
        <w:r>
          <w:rPr>
            <w:webHidden/>
          </w:rPr>
          <w:fldChar w:fldCharType="begin"/>
        </w:r>
        <w:r>
          <w:rPr>
            <w:webHidden/>
          </w:rPr>
          <w:instrText xml:space="preserve">PAGEREF _Toc216991210 \h</w:instrText>
        </w:r>
        <w:r>
          <w:rPr>
            <w:webHidden/>
          </w:rPr>
          <w:fldChar w:fldCharType="separate"/>
        </w:r>
        <w:r>
          <w:rPr>
            <w:rStyle w:val="czeindeksu"/>
          </w:rPr>
          <w:tab/>
          <w:t>13</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11">
        <w:r>
          <w:rPr>
            <w:webHidden/>
          </w:rPr>
          <w:fldChar w:fldCharType="begin"/>
        </w:r>
        <w:r>
          <w:rPr>
            <w:webHidden/>
          </w:rPr>
          <w:instrText xml:space="preserve">PAGEREF _Toc216991211 \h</w:instrText>
        </w:r>
        <w:r>
          <w:rPr>
            <w:webHidden/>
          </w:rPr>
          <w:fldChar w:fldCharType="separate"/>
        </w:r>
        <w:r>
          <w:rPr>
            <w:rStyle w:val="czeindeksu"/>
          </w:rPr>
          <w:t>Rycina 2. Granice obszaru rewitalizacji obejmującego sołectwo Nieciecz</w:t>
          <w:tab/>
          <w:t>14</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12">
        <w:r>
          <w:rPr>
            <w:webHidden/>
          </w:rPr>
          <w:fldChar w:fldCharType="begin"/>
        </w:r>
        <w:r>
          <w:rPr>
            <w:webHidden/>
          </w:rPr>
          <w:instrText xml:space="preserve">PAGEREF _Toc216991212 \h</w:instrText>
        </w:r>
        <w:r>
          <w:rPr>
            <w:webHidden/>
          </w:rPr>
          <w:fldChar w:fldCharType="separate"/>
        </w:r>
        <w:r>
          <w:rPr>
            <w:rStyle w:val="czeindeksu"/>
          </w:rPr>
          <w:t>Rycina 3. Zagęszczenie obiektów i obszarów zabytkowych w obrębie obszaru rewitalizacji – Stare Miasto i okolice, od lewej: wpisanych do rejestru zabytków, od prawej: ujętych w wojewódzkiej ewidencji zabytków, źródło: https://mapy.zabytek.gov.pl/nid/.</w:t>
          <w:tab/>
          <w:t>30</w:t>
        </w:r>
        <w:r>
          <w:rPr>
            <w:webHidden/>
          </w:rPr>
          <w:fldChar w:fldCharType="end"/>
        </w:r>
      </w:hyperlink>
      <w:r>
        <w:rPr>
          <w:rStyle w:val="czeindeksu"/>
        </w:rPr>
        <w:fldChar w:fldCharType="end"/>
      </w:r>
    </w:p>
    <w:p>
      <w:pPr>
        <w:pStyle w:val="TableofFigures"/>
        <w:tabs>
          <w:tab w:val="clear" w:pos="708"/>
          <w:tab w:val="right" w:pos="9062" w:leader="dot"/>
        </w:tabs>
        <w:rPr>
          <w:rFonts w:eastAsia="" w:eastAsiaTheme="minorEastAsia"/>
          <w:sz w:val="24"/>
          <w:szCs w:val="24"/>
          <w:lang w:eastAsia="pl-PL"/>
        </w:rPr>
      </w:pPr>
      <w:r>
        <w:rPr>
          <w:rFonts w:eastAsia="" w:eastAsiaTheme="minorEastAsia"/>
          <w:sz w:val="24"/>
          <w:szCs w:val="24"/>
          <w:lang w:eastAsia="pl-PL"/>
        </w:rPr>
      </w:r>
    </w:p>
    <w:p>
      <w:pPr>
        <w:pStyle w:val="TableofFigures"/>
        <w:tabs>
          <w:tab w:val="clear" w:pos="708"/>
          <w:tab w:val="right" w:pos="9062" w:leader="dot"/>
        </w:tabs>
        <w:rPr>
          <w:rFonts w:eastAsia="" w:eastAsiaTheme="minorEastAsia"/>
          <w:sz w:val="24"/>
          <w:szCs w:val="24"/>
          <w:lang w:eastAsia="pl-PL"/>
        </w:rPr>
      </w:pPr>
      <w:r>
        <w:rPr>
          <w:rFonts w:eastAsia="" w:eastAsiaTheme="minorEastAsia"/>
          <w:sz w:val="24"/>
          <w:szCs w:val="24"/>
          <w:lang w:eastAsia="pl-PL"/>
        </w:rPr>
      </w:r>
    </w:p>
    <w:p>
      <w:pPr>
        <w:pStyle w:val="Normal"/>
        <w:rPr/>
      </w:pPr>
      <w:r>
        <w:rPr/>
      </w:r>
    </w:p>
    <w:p>
      <w:pPr>
        <w:pStyle w:val="Normal"/>
        <w:spacing w:lineRule="auto" w:line="240" w:before="0" w:after="0"/>
        <w:jc w:val="start"/>
        <w:rPr/>
      </w:pPr>
      <w:r>
        <w:rPr/>
      </w:r>
      <w:r>
        <w:br w:type="page"/>
      </w:r>
    </w:p>
    <w:p>
      <w:pPr>
        <w:pStyle w:val="Heading1"/>
        <w:spacing w:before="0" w:after="80"/>
        <w:rPr/>
      </w:pPr>
      <w:bookmarkStart w:id="105" w:name="_Toc216991200"/>
      <w:r>
        <w:rPr/>
        <w:t>SPIS WYKRESÓW</w:t>
      </w:r>
      <w:bookmarkEnd w:id="105"/>
    </w:p>
    <w:p>
      <w:pPr>
        <w:pStyle w:val="TableofFigures"/>
        <w:tabs>
          <w:tab w:val="clear" w:pos="708"/>
          <w:tab w:val="right" w:pos="9062" w:leader="dot"/>
        </w:tabs>
        <w:rPr>
          <w:rFonts w:eastAsia="" w:eastAsiaTheme="minorEastAsia"/>
          <w:sz w:val="24"/>
          <w:szCs w:val="24"/>
          <w:lang w:eastAsia="pl-PL"/>
        </w:rPr>
      </w:pPr>
      <w:r>
        <w:fldChar w:fldCharType="begin"/>
      </w:r>
      <w:r>
        <w:rPr>
          <w:rStyle w:val="czeindeksu"/>
        </w:rPr>
        <w:instrText xml:space="preserve"> TOC \c \h \t "Wykresy2" </w:instrText>
      </w:r>
      <w:r>
        <w:rPr>
          <w:rStyle w:val="czeindeksu"/>
        </w:rPr>
        <w:fldChar w:fldCharType="separate"/>
      </w:r>
      <w:hyperlink w:anchor="_Toc216991213">
        <w:r>
          <w:rPr>
            <w:rStyle w:val="czeindeksu"/>
          </w:rPr>
          <w:t>Wykres 1. Plany mieszkańców w zakresie zmiany miejsca zamieszkania</w:t>
        </w:r>
        <w:r>
          <w:rPr>
            <w:webHidden/>
          </w:rPr>
          <w:fldChar w:fldCharType="begin"/>
        </w:r>
        <w:r>
          <w:rPr>
            <w:webHidden/>
          </w:rPr>
          <w:instrText xml:space="preserve">PAGEREF _Toc216991213 \h</w:instrText>
        </w:r>
        <w:r>
          <w:rPr>
            <w:webHidden/>
          </w:rPr>
          <w:fldChar w:fldCharType="separate"/>
        </w:r>
        <w:r>
          <w:rPr>
            <w:rStyle w:val="czeindeksu"/>
          </w:rPr>
          <w:tab/>
          <w:t>16</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14">
        <w:r>
          <w:rPr>
            <w:webHidden/>
          </w:rPr>
          <w:fldChar w:fldCharType="begin"/>
        </w:r>
        <w:r>
          <w:rPr>
            <w:webHidden/>
          </w:rPr>
          <w:instrText xml:space="preserve">PAGEREF _Toc216991214 \h</w:instrText>
        </w:r>
        <w:r>
          <w:rPr>
            <w:webHidden/>
          </w:rPr>
          <w:fldChar w:fldCharType="separate"/>
        </w:r>
        <w:r>
          <w:rPr>
            <w:rStyle w:val="czeindeksu"/>
          </w:rPr>
          <w:t>Wykres 2. Ocena stanu bezpieczeństwa obszaru rewitalizacji przez mieszkańców</w:t>
          <w:tab/>
          <w:t>23</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15">
        <w:r>
          <w:rPr>
            <w:webHidden/>
          </w:rPr>
          <w:fldChar w:fldCharType="begin"/>
        </w:r>
        <w:r>
          <w:rPr>
            <w:webHidden/>
          </w:rPr>
          <w:instrText xml:space="preserve">PAGEREF _Toc216991215 \h</w:instrText>
        </w:r>
        <w:r>
          <w:rPr>
            <w:webHidden/>
          </w:rPr>
          <w:fldChar w:fldCharType="separate"/>
        </w:r>
        <w:r>
          <w:rPr>
            <w:rStyle w:val="czeindeksu"/>
          </w:rPr>
          <w:t>Wykres 3. Częstotliwość korzystania z Rynku przez mieszkańców</w:t>
          <w:tab/>
          <w:t>34</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16">
        <w:r>
          <w:rPr>
            <w:webHidden/>
          </w:rPr>
          <w:fldChar w:fldCharType="begin"/>
        </w:r>
        <w:r>
          <w:rPr>
            <w:webHidden/>
          </w:rPr>
          <w:instrText xml:space="preserve">PAGEREF _Toc216991216 \h</w:instrText>
        </w:r>
        <w:r>
          <w:rPr>
            <w:webHidden/>
          </w:rPr>
          <w:fldChar w:fldCharType="separate"/>
        </w:r>
        <w:r>
          <w:rPr>
            <w:rStyle w:val="czeindeksu"/>
          </w:rPr>
          <w:t>Wykres 4. Ocena stanu technicznego budynków na obszarze rewitalizacji</w:t>
          <w:tab/>
          <w:t>44</w:t>
        </w:r>
        <w:r>
          <w:rPr>
            <w:webHidden/>
          </w:rPr>
          <w:fldChar w:fldCharType="end"/>
        </w:r>
      </w:hyperlink>
      <w:r>
        <w:rPr>
          <w:rStyle w:val="czeindeksu"/>
        </w:rPr>
        <w:fldChar w:fldCharType="end"/>
      </w:r>
    </w:p>
    <w:p>
      <w:pPr>
        <w:pStyle w:val="TableofFigures"/>
        <w:tabs>
          <w:tab w:val="clear" w:pos="708"/>
          <w:tab w:val="right" w:pos="9062" w:leader="dot"/>
        </w:tabs>
        <w:rPr>
          <w:rFonts w:eastAsia="" w:eastAsiaTheme="minorEastAsia"/>
          <w:sz w:val="24"/>
          <w:szCs w:val="24"/>
          <w:lang w:eastAsia="pl-PL"/>
        </w:rPr>
      </w:pPr>
      <w:r>
        <w:rPr>
          <w:rFonts w:eastAsia="" w:eastAsiaTheme="minorEastAsia"/>
          <w:sz w:val="24"/>
          <w:szCs w:val="24"/>
          <w:lang w:eastAsia="pl-PL"/>
        </w:rPr>
      </w:r>
    </w:p>
    <w:p>
      <w:pPr>
        <w:pStyle w:val="TableofFigures"/>
        <w:tabs>
          <w:tab w:val="clear" w:pos="708"/>
          <w:tab w:val="right" w:pos="9062" w:leader="dot"/>
        </w:tabs>
        <w:rPr>
          <w:rFonts w:eastAsia="" w:eastAsiaTheme="minorEastAsia"/>
          <w:sz w:val="24"/>
          <w:szCs w:val="24"/>
          <w:lang w:eastAsia="pl-PL"/>
        </w:rPr>
      </w:pPr>
      <w:r>
        <w:rPr>
          <w:rFonts w:eastAsia="" w:eastAsiaTheme="minorEastAsia"/>
          <w:sz w:val="24"/>
          <w:szCs w:val="24"/>
          <w:lang w:eastAsia="pl-PL"/>
        </w:rPr>
      </w:r>
    </w:p>
    <w:p>
      <w:pPr>
        <w:pStyle w:val="Normal"/>
        <w:rPr/>
      </w:pPr>
      <w:r>
        <w:rPr/>
      </w:r>
    </w:p>
    <w:p>
      <w:pPr>
        <w:pStyle w:val="Normal"/>
        <w:rPr/>
      </w:pPr>
      <w:r>
        <w:rPr/>
      </w:r>
      <w:r>
        <w:br w:type="page"/>
      </w:r>
    </w:p>
    <w:p>
      <w:pPr>
        <w:pStyle w:val="Heading1"/>
        <w:spacing w:before="0" w:after="80"/>
        <w:rPr/>
      </w:pPr>
      <w:bookmarkStart w:id="106" w:name="_Toc216991201"/>
      <w:r>
        <w:rPr/>
        <w:t>SPIS FOTOGRAFII</w:t>
      </w:r>
      <w:bookmarkEnd w:id="106"/>
    </w:p>
    <w:p>
      <w:pPr>
        <w:pStyle w:val="TableofFigures"/>
        <w:tabs>
          <w:tab w:val="clear" w:pos="708"/>
          <w:tab w:val="right" w:pos="9062" w:leader="dot"/>
        </w:tabs>
        <w:rPr>
          <w:rFonts w:eastAsia="" w:eastAsiaTheme="minorEastAsia"/>
          <w:sz w:val="24"/>
          <w:szCs w:val="24"/>
          <w:lang w:eastAsia="pl-PL"/>
        </w:rPr>
      </w:pPr>
      <w:r>
        <w:fldChar w:fldCharType="begin"/>
      </w:r>
      <w:r>
        <w:rPr>
          <w:rStyle w:val="czeindeksu"/>
        </w:rPr>
        <w:instrText xml:space="preserve"> TOC \c \h \t "Fotografie" </w:instrText>
      </w:r>
      <w:r>
        <w:rPr>
          <w:rStyle w:val="czeindeksu"/>
        </w:rPr>
        <w:fldChar w:fldCharType="separate"/>
      </w:r>
      <w:hyperlink w:anchor="_Toc216991217">
        <w:r>
          <w:rPr>
            <w:rStyle w:val="czeindeksu"/>
          </w:rPr>
          <w:t>Fotografia 1. Wydarzenia w ramach prac nad GPR: spotkanie z przedsiębiorcami i przedstawicielami organizacji pozarządowych oraz debata oxfordzka z młodzieżą.</w:t>
        </w:r>
        <w:r>
          <w:rPr>
            <w:webHidden/>
          </w:rPr>
          <w:fldChar w:fldCharType="begin"/>
        </w:r>
        <w:r>
          <w:rPr>
            <w:webHidden/>
          </w:rPr>
          <w:instrText xml:space="preserve">PAGEREF _Toc216991217 \h</w:instrText>
        </w:r>
        <w:r>
          <w:rPr>
            <w:webHidden/>
          </w:rPr>
          <w:fldChar w:fldCharType="separate"/>
        </w:r>
        <w:r>
          <w:rPr>
            <w:rStyle w:val="czeindeksu"/>
          </w:rPr>
          <w:tab/>
          <w:t>11</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18">
        <w:r>
          <w:rPr>
            <w:webHidden/>
          </w:rPr>
          <w:fldChar w:fldCharType="begin"/>
        </w:r>
        <w:r>
          <w:rPr>
            <w:webHidden/>
          </w:rPr>
          <w:instrText xml:space="preserve">PAGEREF _Toc216991218 \h</w:instrText>
        </w:r>
        <w:r>
          <w:rPr>
            <w:webHidden/>
          </w:rPr>
          <w:fldChar w:fldCharType="separate"/>
        </w:r>
        <w:r>
          <w:rPr>
            <w:rStyle w:val="czeindeksu"/>
          </w:rPr>
          <w:t>Fotografia 2. Warsztaty dla seniorów „Starość to też radość” organizowane przez Ośrodek Pomocy Społecznej w Nowym Miasteczku oraz zimowisko dla dzieci w Wiśle zorganizowane przez OPS</w:t>
          <w:tab/>
          <w:t>19</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19">
        <w:r>
          <w:rPr>
            <w:webHidden/>
          </w:rPr>
          <w:fldChar w:fldCharType="begin"/>
        </w:r>
        <w:r>
          <w:rPr>
            <w:webHidden/>
          </w:rPr>
          <w:instrText xml:space="preserve">PAGEREF _Toc216991219 \h</w:instrText>
        </w:r>
        <w:r>
          <w:rPr>
            <w:webHidden/>
          </w:rPr>
          <w:fldChar w:fldCharType="separate"/>
        </w:r>
        <w:r>
          <w:rPr>
            <w:rStyle w:val="czeindeksu"/>
          </w:rPr>
          <w:t>Fotografia 3. Występ na dożynkach organizowanych przez Gminny Ośrodek Kultury</w:t>
          <w:tab/>
          <w:t>22</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20">
        <w:r>
          <w:rPr>
            <w:webHidden/>
          </w:rPr>
          <w:fldChar w:fldCharType="begin"/>
        </w:r>
        <w:r>
          <w:rPr>
            <w:webHidden/>
          </w:rPr>
          <w:instrText xml:space="preserve">PAGEREF _Toc216991220 \h</w:instrText>
        </w:r>
        <w:r>
          <w:rPr>
            <w:webHidden/>
          </w:rPr>
          <w:fldChar w:fldCharType="separate"/>
        </w:r>
        <w:r>
          <w:rPr>
            <w:rStyle w:val="czeindeksu"/>
          </w:rPr>
          <w:t>Fotografia 4. Hala sportowa i fragment skateparku na obszarze rewitalizacji w Nowym Miasteczku</w:t>
          <w:tab/>
          <w:t>24</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21">
        <w:r>
          <w:rPr>
            <w:webHidden/>
          </w:rPr>
          <w:fldChar w:fldCharType="begin"/>
        </w:r>
        <w:r>
          <w:rPr>
            <w:webHidden/>
          </w:rPr>
          <w:instrText xml:space="preserve">PAGEREF _Toc216991221 \h</w:instrText>
        </w:r>
        <w:r>
          <w:rPr>
            <w:webHidden/>
          </w:rPr>
          <w:fldChar w:fldCharType="separate"/>
        </w:r>
        <w:r>
          <w:rPr>
            <w:rStyle w:val="czeindeksu"/>
          </w:rPr>
          <w:t>Fotografia 5. Inicjatywy oddolne w zakresie zagospodarowania przestrzeni podwórek.</w:t>
          <w:tab/>
          <w:t>27</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22">
        <w:r>
          <w:rPr>
            <w:webHidden/>
          </w:rPr>
          <w:fldChar w:fldCharType="begin"/>
        </w:r>
        <w:r>
          <w:rPr>
            <w:webHidden/>
          </w:rPr>
          <w:instrText xml:space="preserve">PAGEREF _Toc216991222 \h</w:instrText>
        </w:r>
        <w:r>
          <w:rPr>
            <w:webHidden/>
          </w:rPr>
          <w:fldChar w:fldCharType="separate"/>
        </w:r>
        <w:r>
          <w:rPr>
            <w:rStyle w:val="czeindeksu"/>
          </w:rPr>
          <w:t>Fotografia 6. Niska estetyka przestrzeni publicznych i podwórek.</w:t>
          <w:tab/>
          <w:t>27</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23">
        <w:r>
          <w:rPr>
            <w:webHidden/>
          </w:rPr>
          <w:fldChar w:fldCharType="begin"/>
        </w:r>
        <w:r>
          <w:rPr>
            <w:webHidden/>
          </w:rPr>
          <w:instrText xml:space="preserve">PAGEREF _Toc216991223 \h</w:instrText>
        </w:r>
        <w:r>
          <w:rPr>
            <w:webHidden/>
          </w:rPr>
          <w:fldChar w:fldCharType="separate"/>
        </w:r>
        <w:r>
          <w:rPr>
            <w:rStyle w:val="czeindeksu"/>
          </w:rPr>
          <w:t>Fotografia 7. Panoramy Nowego Miasteczka dawniej i obecnie</w:t>
          <w:tab/>
          <w:t>28</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24">
        <w:r>
          <w:rPr>
            <w:webHidden/>
          </w:rPr>
          <w:fldChar w:fldCharType="begin"/>
        </w:r>
        <w:r>
          <w:rPr>
            <w:webHidden/>
          </w:rPr>
          <w:instrText xml:space="preserve">PAGEREF _Toc216991224 \h</w:instrText>
        </w:r>
        <w:r>
          <w:rPr>
            <w:webHidden/>
          </w:rPr>
          <w:fldChar w:fldCharType="separate"/>
        </w:r>
        <w:r>
          <w:rPr>
            <w:rStyle w:val="czeindeksu"/>
          </w:rPr>
          <w:t>Fotografia 8. Przykłady historycznych typów zabudowy w obrębie Nowego Miasteczka – pierzejowa zabudowa w obrębie rynku i jego sąsiedztwie.</w:t>
          <w:tab/>
          <w:t>31</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25">
        <w:r>
          <w:rPr>
            <w:webHidden/>
          </w:rPr>
          <w:fldChar w:fldCharType="begin"/>
        </w:r>
        <w:r>
          <w:rPr>
            <w:webHidden/>
          </w:rPr>
          <w:instrText xml:space="preserve">PAGEREF _Toc216991225 \h</w:instrText>
        </w:r>
        <w:r>
          <w:rPr>
            <w:webHidden/>
          </w:rPr>
          <w:fldChar w:fldCharType="separate"/>
        </w:r>
        <w:r>
          <w:rPr>
            <w:rStyle w:val="czeindeksu"/>
          </w:rPr>
          <w:t>Fotografia 9. Krajobraz kulturowy wsi Nieciecz - zabudowa zagrodowa.</w:t>
          <w:tab/>
          <w:t>31</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26">
        <w:r>
          <w:rPr>
            <w:webHidden/>
          </w:rPr>
          <w:fldChar w:fldCharType="begin"/>
        </w:r>
        <w:r>
          <w:rPr>
            <w:webHidden/>
          </w:rPr>
          <w:instrText xml:space="preserve">PAGEREF _Toc216991226 \h</w:instrText>
        </w:r>
        <w:r>
          <w:rPr>
            <w:webHidden/>
          </w:rPr>
          <w:fldChar w:fldCharType="separate"/>
        </w:r>
        <w:r>
          <w:rPr>
            <w:rStyle w:val="czeindeksu"/>
          </w:rPr>
          <w:t>Fotografia 10. Lokal usługowy na sprzedaż oraz wejście do niedziałającej restauracji.</w:t>
          <w:tab/>
          <w:t>33</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27">
        <w:r>
          <w:rPr>
            <w:webHidden/>
          </w:rPr>
          <w:fldChar w:fldCharType="begin"/>
        </w:r>
        <w:r>
          <w:rPr>
            <w:webHidden/>
          </w:rPr>
          <w:instrText xml:space="preserve">PAGEREF _Toc216991227 \h</w:instrText>
        </w:r>
        <w:r>
          <w:rPr>
            <w:webHidden/>
          </w:rPr>
          <w:fldChar w:fldCharType="separate"/>
        </w:r>
        <w:r>
          <w:rPr>
            <w:rStyle w:val="czeindeksu"/>
          </w:rPr>
          <w:t>Fotografia 11. Teren dawnych zakładów meblowych ZEFAM</w:t>
          <w:tab/>
          <w:t>36</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28">
        <w:r>
          <w:rPr>
            <w:webHidden/>
          </w:rPr>
          <w:fldChar w:fldCharType="begin"/>
        </w:r>
        <w:r>
          <w:rPr>
            <w:webHidden/>
          </w:rPr>
          <w:instrText xml:space="preserve">PAGEREF _Toc216991228 \h</w:instrText>
        </w:r>
        <w:r>
          <w:rPr>
            <w:webHidden/>
          </w:rPr>
          <w:fldChar w:fldCharType="separate"/>
        </w:r>
        <w:r>
          <w:rPr>
            <w:rStyle w:val="czeindeksu"/>
          </w:rPr>
          <w:t>Fotografia 12. Akcja „Paszport Rowerzysty” na Rynku w Nowym Miasteczku w 2025 roku</w:t>
          <w:tab/>
          <w:t>37</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29">
        <w:r>
          <w:rPr>
            <w:webHidden/>
          </w:rPr>
          <w:fldChar w:fldCharType="begin"/>
        </w:r>
        <w:r>
          <w:rPr>
            <w:webHidden/>
          </w:rPr>
          <w:instrText xml:space="preserve">PAGEREF _Toc216991229 \h</w:instrText>
        </w:r>
        <w:r>
          <w:rPr>
            <w:webHidden/>
          </w:rPr>
          <w:fldChar w:fldCharType="separate"/>
        </w:r>
        <w:r>
          <w:rPr>
            <w:rStyle w:val="czeindeksu"/>
          </w:rPr>
          <w:t>Fotografia 13. Spotkanie z przedsiębiorcami podczas prac nad GPR.</w:t>
          <w:tab/>
          <w:t>38</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30">
        <w:r>
          <w:rPr>
            <w:webHidden/>
          </w:rPr>
          <w:fldChar w:fldCharType="begin"/>
        </w:r>
        <w:r>
          <w:rPr>
            <w:webHidden/>
          </w:rPr>
          <w:instrText xml:space="preserve">PAGEREF _Toc216991230 \h</w:instrText>
        </w:r>
        <w:r>
          <w:rPr>
            <w:webHidden/>
          </w:rPr>
          <w:fldChar w:fldCharType="separate"/>
        </w:r>
        <w:r>
          <w:rPr>
            <w:rStyle w:val="czeindeksu"/>
          </w:rPr>
          <w:t>Fotografia 14. Dym z komina na Rynku w Nowym Miasteczku</w:t>
          <w:tab/>
          <w:t>40</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31">
        <w:r>
          <w:rPr>
            <w:webHidden/>
          </w:rPr>
          <w:fldChar w:fldCharType="begin"/>
        </w:r>
        <w:r>
          <w:rPr>
            <w:webHidden/>
          </w:rPr>
          <w:instrText xml:space="preserve">PAGEREF _Toc216991231 \h</w:instrText>
        </w:r>
        <w:r>
          <w:rPr>
            <w:webHidden/>
          </w:rPr>
          <w:fldChar w:fldCharType="separate"/>
        </w:r>
        <w:r>
          <w:rPr>
            <w:rStyle w:val="czeindeksu"/>
          </w:rPr>
          <w:t>Fotografia 15. Fragment lasu w Niecieczy</w:t>
          <w:tab/>
          <w:t>41</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32">
        <w:r>
          <w:rPr>
            <w:webHidden/>
          </w:rPr>
          <w:fldChar w:fldCharType="begin"/>
        </w:r>
        <w:r>
          <w:rPr>
            <w:webHidden/>
          </w:rPr>
          <w:instrText xml:space="preserve">PAGEREF _Toc216991232 \h</w:instrText>
        </w:r>
        <w:r>
          <w:rPr>
            <w:webHidden/>
          </w:rPr>
          <w:fldChar w:fldCharType="separate"/>
        </w:r>
        <w:r>
          <w:rPr>
            <w:rStyle w:val="czeindeksu"/>
          </w:rPr>
          <w:t>Fotografia 16. Zniszczone elewacje kamienic w Rynku</w:t>
          <w:tab/>
          <w:t>43</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33">
        <w:r>
          <w:rPr>
            <w:webHidden/>
          </w:rPr>
          <w:fldChar w:fldCharType="begin"/>
        </w:r>
        <w:r>
          <w:rPr>
            <w:webHidden/>
          </w:rPr>
          <w:instrText xml:space="preserve">PAGEREF _Toc216991233 \h</w:instrText>
        </w:r>
        <w:r>
          <w:rPr>
            <w:webHidden/>
          </w:rPr>
          <w:fldChar w:fldCharType="separate"/>
        </w:r>
        <w:r>
          <w:rPr>
            <w:rStyle w:val="czeindeksu"/>
          </w:rPr>
          <w:t>Fotografia 17. Ciężarówka z ładunkiem przejeżdżająca przez Rynek</w:t>
          <w:tab/>
          <w:t>44</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34">
        <w:r>
          <w:rPr>
            <w:webHidden/>
          </w:rPr>
          <w:fldChar w:fldCharType="begin"/>
        </w:r>
        <w:r>
          <w:rPr>
            <w:webHidden/>
          </w:rPr>
          <w:instrText xml:space="preserve">PAGEREF _Toc216991234 \h</w:instrText>
        </w:r>
        <w:r>
          <w:rPr>
            <w:webHidden/>
          </w:rPr>
          <w:fldChar w:fldCharType="separate"/>
        </w:r>
        <w:r>
          <w:rPr>
            <w:rStyle w:val="czeindeksu"/>
          </w:rPr>
          <w:t>Fotografia 18. Wejście do Urzędu Miejskiego w Nowym Miasteczku. Po prawej drzwi stanowiące barierę dla osób z niepełnosprawnościami</w:t>
          <w:tab/>
          <w:t>45</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35">
        <w:r>
          <w:rPr>
            <w:webHidden/>
          </w:rPr>
          <w:fldChar w:fldCharType="begin"/>
        </w:r>
        <w:r>
          <w:rPr>
            <w:webHidden/>
          </w:rPr>
          <w:instrText xml:space="preserve">PAGEREF _Toc216991235 \h</w:instrText>
        </w:r>
        <w:r>
          <w:rPr>
            <w:webHidden/>
          </w:rPr>
          <w:fldChar w:fldCharType="separate"/>
        </w:r>
        <w:r>
          <w:rPr>
            <w:rStyle w:val="czeindeksu"/>
          </w:rPr>
          <w:t>Fotografia 19. Droga w Niecieczy</w:t>
          <w:tab/>
          <w:t>46</w:t>
        </w:r>
        <w:r>
          <w:rPr>
            <w:webHidden/>
          </w:rPr>
          <w:fldChar w:fldCharType="end"/>
        </w:r>
      </w:hyperlink>
    </w:p>
    <w:p>
      <w:pPr>
        <w:pStyle w:val="TableofFigures"/>
        <w:tabs>
          <w:tab w:val="clear" w:pos="708"/>
          <w:tab w:val="right" w:pos="9062" w:leader="dot"/>
        </w:tabs>
        <w:rPr>
          <w:rFonts w:eastAsia="" w:eastAsiaTheme="minorEastAsia"/>
          <w:sz w:val="24"/>
          <w:szCs w:val="24"/>
          <w:lang w:eastAsia="pl-PL"/>
        </w:rPr>
      </w:pPr>
      <w:hyperlink w:anchor="_Toc216991236">
        <w:r>
          <w:rPr>
            <w:webHidden/>
          </w:rPr>
          <w:fldChar w:fldCharType="begin"/>
        </w:r>
        <w:r>
          <w:rPr>
            <w:webHidden/>
          </w:rPr>
          <w:instrText xml:space="preserve">PAGEREF _Toc216991236 \h</w:instrText>
        </w:r>
        <w:r>
          <w:rPr>
            <w:webHidden/>
          </w:rPr>
          <w:fldChar w:fldCharType="separate"/>
        </w:r>
        <w:r>
          <w:rPr>
            <w:rStyle w:val="czeindeksu"/>
          </w:rPr>
          <w:t>Fotografia 19. Angażowanie różnych grup interesariuszy na etapie prac nad GPR – debata oxfordzka z uczniami, spacer badawczy z mieszkańcami</w:t>
          <w:tab/>
          <w:t>101</w:t>
        </w:r>
        <w:r>
          <w:rPr>
            <w:webHidden/>
          </w:rPr>
          <w:fldChar w:fldCharType="end"/>
        </w:r>
      </w:hyperlink>
      <w:r>
        <w:rPr>
          <w:rStyle w:val="czeindeksu"/>
        </w:rPr>
        <w:fldChar w:fldCharType="end"/>
      </w:r>
    </w:p>
    <w:p>
      <w:pPr>
        <w:pStyle w:val="TableofFigures"/>
        <w:tabs>
          <w:tab w:val="clear" w:pos="708"/>
          <w:tab w:val="right" w:pos="9062" w:leader="dot"/>
        </w:tabs>
        <w:rPr>
          <w:rFonts w:eastAsia="" w:eastAsiaTheme="minorEastAsia"/>
          <w:sz w:val="24"/>
          <w:szCs w:val="24"/>
          <w:lang w:eastAsia="pl-PL"/>
        </w:rPr>
      </w:pPr>
      <w:r>
        <w:rPr>
          <w:rFonts w:eastAsia="" w:eastAsiaTheme="minorEastAsia"/>
          <w:sz w:val="24"/>
          <w:szCs w:val="24"/>
          <w:lang w:eastAsia="pl-PL"/>
        </w:rPr>
      </w:r>
    </w:p>
    <w:p>
      <w:pPr>
        <w:pStyle w:val="TableofFigures"/>
        <w:tabs>
          <w:tab w:val="clear" w:pos="708"/>
          <w:tab w:val="right" w:pos="9062" w:leader="dot"/>
        </w:tabs>
        <w:rPr>
          <w:rFonts w:eastAsia="" w:eastAsiaTheme="minorEastAsia"/>
          <w:sz w:val="24"/>
          <w:szCs w:val="24"/>
          <w:lang w:eastAsia="pl-PL"/>
        </w:rPr>
      </w:pPr>
      <w:r>
        <w:rPr>
          <w:rFonts w:eastAsia="" w:eastAsiaTheme="minorEastAsia"/>
          <w:sz w:val="24"/>
          <w:szCs w:val="24"/>
          <w:lang w:eastAsia="pl-PL"/>
        </w:rPr>
      </w:r>
    </w:p>
    <w:p>
      <w:pPr>
        <w:pStyle w:val="Normal"/>
        <w:rPr/>
      </w:pPr>
      <w:r>
        <w:rPr/>
      </w:r>
    </w:p>
    <w:p>
      <w:pPr>
        <w:pStyle w:val="Normal"/>
        <w:rPr/>
      </w:pPr>
      <w:r>
        <w:rPr/>
      </w:r>
      <w:r>
        <w:br w:type="page"/>
      </w:r>
    </w:p>
    <w:p>
      <w:pPr>
        <w:pStyle w:val="Heading1"/>
        <w:spacing w:before="0" w:after="80"/>
        <w:rPr/>
      </w:pPr>
      <w:bookmarkStart w:id="107" w:name="_Toc216991202"/>
      <w:r>
        <w:rPr/>
        <w:t>ZAŁĄCZNIKI</w:t>
      </w:r>
      <w:bookmarkEnd w:id="107"/>
    </w:p>
    <w:p>
      <w:pPr>
        <w:sectPr>
          <w:footerReference w:type="even" r:id="rId54"/>
          <w:footerReference w:type="default" r:id="rId55"/>
          <w:footerReference w:type="first" r:id="rId56"/>
          <w:footnotePr>
            <w:numFmt w:val="decimal"/>
          </w:footnotePr>
          <w:type w:val="nextPage"/>
          <w:pgSz w:w="11906" w:h="16838"/>
          <w:pgMar w:left="1417" w:right="1417" w:gutter="0" w:header="0" w:top="1417" w:footer="708" w:bottom="1417"/>
          <w:pgNumType w:fmt="decimal"/>
          <w:formProt w:val="false"/>
          <w:textDirection w:val="lrTb"/>
          <w:docGrid w:type="default" w:linePitch="360" w:charSpace="24576"/>
        </w:sectPr>
        <w:pStyle w:val="ListParagraph"/>
        <w:numPr>
          <w:ilvl w:val="3"/>
          <w:numId w:val="4"/>
        </w:numPr>
        <w:jc w:val="start"/>
        <w:rPr/>
      </w:pPr>
      <w:r>
        <w:rPr/>
        <w:t>Podstawowe kierunki zmian funkcjonalno-przestrzennych obszaru rewitalizacji Gminy Nowe Miasteczko</w:t>
      </w:r>
    </w:p>
    <w:p>
      <w:pPr>
        <w:pStyle w:val="Normal"/>
        <w:spacing w:before="0" w:after="160"/>
        <w:jc w:val="start"/>
        <w:rPr/>
      </w:pPr>
      <w:r>
        <w:rPr/>
      </w:r>
    </w:p>
    <w:sectPr>
      <w:footerReference w:type="even" r:id="rId57"/>
      <w:footerReference w:type="default" r:id="rId58"/>
      <w:footerReference w:type="first" r:id="rId59"/>
      <w:footnotePr>
        <w:numFmt w:val="decimal"/>
      </w:footnotePr>
      <w:type w:val="nextPage"/>
      <w:pgSz w:w="11906" w:h="16838"/>
      <w:pgMar w:left="0" w:right="0" w:gutter="0" w:header="0" w:top="0" w:footer="0" w:bottom="57"/>
      <w:pgNumType w:fmt="decimal"/>
      <w:formProt w:val="false"/>
      <w:textDirection w:val="lrTb"/>
      <w:docGrid w:type="default" w:linePitch="360" w:charSpace="24576"/>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font>
  <w:font w:name="Symbol">
    <w:charset w:val="02"/>
    <w:family w:val="roman"/>
    <w:pitch w:val="variable"/>
  </w:font>
  <w:font w:name="Arial">
    <w:charset w:val="00" w:characterSet="windows-1252"/>
    <w:family w:val="swiss"/>
    <w:pitch w:val="variable"/>
  </w:font>
  <w:font w:name="Liberation Serif">
    <w:altName w:val="Times New Roman"/>
    <w:charset w:val="ee" w:characterSet="windows-1250"/>
    <w:family w:val="roman"/>
    <w:pitch w:val="variable"/>
  </w:font>
  <w:font w:name="Aptos">
    <w:charset w:val="ee" w:characterSet="windows-1250"/>
    <w:family w:val="roman"/>
    <w:pitch w:val="variable"/>
  </w:font>
  <w:font w:name="Aptos Display">
    <w:charset w:val="ee" w:characterSet="windows-1250"/>
    <w:family w:val="roman"/>
    <w:pitch w:val="variable"/>
  </w:font>
  <w:font w:name="Segoe UI">
    <w:charset w:val="ee" w:characterSet="windows-1250"/>
    <w:family w:val="swiss"/>
    <w:pitch w:val="variable"/>
  </w:font>
  <w:font w:name="Liberation Sans">
    <w:altName w:val="Arial"/>
    <w:charset w:val="ee" w:characterSet="windows-1250"/>
    <w:family w:val="swiss"/>
    <w:pitch w:val="variable"/>
  </w:font>
  <w:font w:name="Times New Roman">
    <w:charset w:val="ee" w:characterSet="windows-1250"/>
    <w:family w:val="roman"/>
    <w:pitch w:val="variable"/>
  </w:font>
  <w:font w:name="Century Gothic">
    <w:charset w:val="ee" w:characterSet="windows-1250"/>
    <w:family w:val="swiss"/>
    <w:pitch w:val="variable"/>
  </w:font>
  <w:font w:name="Aptos">
    <w:charset w:val="ee" w:characterSet="windows-1250"/>
    <w:family w:val="swiss"/>
    <w:pitch w:val="variable"/>
  </w:font>
  <w:font w:name="Roboto">
    <w:charset w:val="ee" w:characterSet="windows-1250"/>
    <w:family w:val="auto"/>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220276882"/>
    </w:sdtPr>
    <w:sdtContent>
      <w:p>
        <w:pPr>
          <w:pStyle w:val="Footer"/>
          <w:jc w:val="end"/>
          <w:rPr/>
        </w:pPr>
        <w:r>
          <w:rPr/>
          <w:fldChar w:fldCharType="begin"/>
        </w:r>
        <w:r>
          <w:rPr/>
          <w:instrText xml:space="preserve"> PAGE </w:instrText>
        </w:r>
        <w:r>
          <w:rPr/>
          <w:fldChar w:fldCharType="separate"/>
        </w:r>
        <w:r>
          <w:rPr/>
          <w:t>1</w:t>
        </w:r>
        <w:r>
          <w:rPr/>
          <w:fldChar w:fldCharType="end"/>
        </w:r>
      </w:p>
    </w:sdtContent>
  </w:sdt>
  <w:p>
    <w:pPr>
      <w:pStyle w:val="Footer"/>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220276882"/>
    </w:sdtPr>
    <w:sdtContent>
      <w:p>
        <w:pPr>
          <w:pStyle w:val="Footer"/>
          <w:jc w:val="end"/>
          <w:rPr/>
        </w:pPr>
        <w:r>
          <w:rPr/>
          <w:fldChar w:fldCharType="begin"/>
        </w:r>
        <w:r>
          <w:rPr/>
          <w:instrText xml:space="preserve"> PAGE </w:instrText>
        </w:r>
        <w:r>
          <w:rPr/>
          <w:fldChar w:fldCharType="separate"/>
        </w:r>
        <w:r>
          <w:rPr/>
          <w:t>1</w:t>
        </w:r>
        <w:r>
          <w:rPr/>
          <w:fldChar w:fldCharType="end"/>
        </w:r>
      </w:p>
    </w:sdtContent>
  </w:sdt>
  <w:p>
    <w:pPr>
      <w:pStyle w:val="Footer"/>
      <w:rPr/>
    </w:pPr>
    <w:r>
      <w:rPr/>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414814496"/>
    </w:sdtPr>
    <w:sdtContent>
      <w:p>
        <w:pPr>
          <w:pStyle w:val="Footer"/>
          <w:jc w:val="end"/>
          <w:rPr/>
        </w:pPr>
        <w:r>
          <w:rPr/>
          <w:fldChar w:fldCharType="begin"/>
        </w:r>
        <w:r>
          <w:rPr/>
          <w:instrText xml:space="preserve"> PAGE </w:instrText>
        </w:r>
        <w:r>
          <w:rPr/>
          <w:fldChar w:fldCharType="separate"/>
        </w:r>
        <w:r>
          <w:rPr/>
          <w:t>60</w:t>
        </w:r>
        <w:r>
          <w:rPr/>
          <w:fldChar w:fldCharType="end"/>
        </w:r>
      </w:p>
    </w:sdtContent>
  </w:sdt>
  <w:p>
    <w:pPr>
      <w:pStyle w:val="Footer"/>
      <w:rPr/>
    </w:pPr>
    <w:r>
      <w:rPr/>
    </w:r>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414814496"/>
    </w:sdtPr>
    <w:sdtContent>
      <w:p>
        <w:pPr>
          <w:pStyle w:val="Footer"/>
          <w:jc w:val="end"/>
          <w:rPr/>
        </w:pPr>
        <w:r>
          <w:rPr/>
          <w:fldChar w:fldCharType="begin"/>
        </w:r>
        <w:r>
          <w:rPr/>
          <w:instrText xml:space="preserve"> PAGE </w:instrText>
        </w:r>
        <w:r>
          <w:rPr/>
          <w:fldChar w:fldCharType="separate"/>
        </w:r>
        <w:r>
          <w:rPr/>
          <w:t>60</w:t>
        </w:r>
        <w:r>
          <w:rPr/>
          <w:fldChar w:fldCharType="end"/>
        </w:r>
      </w:p>
    </w:sdtContent>
  </w:sdt>
  <w:p>
    <w:pPr>
      <w:pStyle w:val="Footer"/>
      <w:rPr/>
    </w:pPr>
    <w:r>
      <w:rPr/>
    </w:r>
  </w:p>
</w:ftr>
</file>

<file path=word/footer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2036480729"/>
    </w:sdtPr>
    <w:sdtContent>
      <w:p>
        <w:pPr>
          <w:pStyle w:val="Footer"/>
          <w:jc w:val="end"/>
          <w:rPr/>
        </w:pPr>
        <w:r>
          <w:rPr/>
          <w:fldChar w:fldCharType="begin"/>
        </w:r>
        <w:r>
          <w:rPr/>
          <w:instrText xml:space="preserve"> PAGE </w:instrText>
        </w:r>
        <w:r>
          <w:rPr/>
          <w:fldChar w:fldCharType="separate"/>
        </w:r>
        <w:r>
          <w:rPr/>
          <w:t>117</w:t>
        </w:r>
        <w:r>
          <w:rPr/>
          <w:fldChar w:fldCharType="end"/>
        </w:r>
      </w:p>
    </w:sdtContent>
  </w:sdt>
  <w:p>
    <w:pPr>
      <w:pStyle w:val="Footer"/>
      <w:rPr/>
    </w:pPr>
    <w:r>
      <w:rPr/>
    </w:r>
  </w:p>
</w:ftr>
</file>

<file path=word/footer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2036480729"/>
    </w:sdtPr>
    <w:sdtContent>
      <w:p>
        <w:pPr>
          <w:pStyle w:val="Footer"/>
          <w:jc w:val="end"/>
          <w:rPr/>
        </w:pPr>
        <w:r>
          <w:rPr/>
          <w:fldChar w:fldCharType="begin"/>
        </w:r>
        <w:r>
          <w:rPr/>
          <w:instrText xml:space="preserve"> PAGE </w:instrText>
        </w:r>
        <w:r>
          <w:rPr/>
          <w:fldChar w:fldCharType="separate"/>
        </w:r>
        <w:r>
          <w:rPr/>
          <w:t>117</w:t>
        </w:r>
        <w:r>
          <w:rPr/>
          <w:fldChar w:fldCharType="end"/>
        </w:r>
      </w:p>
    </w:sdtContent>
  </w:sdt>
  <w:p>
    <w:pPr>
      <w:pStyle w:val="Footer"/>
      <w:rPr/>
    </w:pPr>
    <w:r>
      <w:rPr/>
    </w:r>
  </w:p>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footnote w:id="0" w:type="separator">
    <w:p>
      <w:r>
        <w:separator/>
      </w:r>
    </w:p>
  </w:footnote>
  <w:footnote w:id="1" w:type="continuationSeparator">
    <w:p>
      <w:r>
        <w:continuationSeparator/>
      </w:r>
    </w:p>
  </w:footnote>
  <w:footnote w:id="2">
    <w:p>
      <w:pPr>
        <w:pStyle w:val="FootnoteText"/>
        <w:rPr/>
      </w:pPr>
      <w:r>
        <w:rPr>
          <w:rStyle w:val="Znakiprzypiswdolnych"/>
        </w:rPr>
        <w:footnoteRef/>
      </w:r>
      <w:r>
        <w:rPr/>
        <w:t xml:space="preserve"> </w:t>
      </w:r>
      <w:r>
        <w:rPr/>
        <w:t>T.j. Dz. U. z 2024 r., poz. 278.</w:t>
      </w:r>
    </w:p>
  </w:footnote>
  <w:footnote w:id="3">
    <w:p>
      <w:pPr>
        <w:pStyle w:val="FootnoteText"/>
        <w:rPr/>
      </w:pPr>
      <w:r>
        <w:rPr>
          <w:rStyle w:val="Znakiprzypiswdolnych"/>
        </w:rPr>
        <w:footnoteRef/>
      </w:r>
      <w:r>
        <w:rPr/>
        <w:t xml:space="preserve"> </w:t>
      </w:r>
      <w:r>
        <w:rPr/>
        <w:t>Dz. U. z 2022 r., poz. 1079, z 2024 r., poz. 1717.</w:t>
      </w:r>
    </w:p>
  </w:footnote>
  <w:footnote w:id="4">
    <w:p>
      <w:pPr>
        <w:pStyle w:val="FootnoteText"/>
        <w:rPr/>
      </w:pPr>
      <w:r>
        <w:rPr>
          <w:rStyle w:val="Znakiprzypiswdolnych"/>
        </w:rPr>
        <w:footnoteRef/>
      </w:r>
      <w:r>
        <w:rPr/>
        <w:t xml:space="preserve"> </w:t>
      </w:r>
      <w:r>
        <w:rPr/>
        <w:t>Zasady z dnia 24 sierpnia 2023 roku zatwierdzone przez Ministra Funduszy i Polityki Regionalnej.</w:t>
      </w:r>
    </w:p>
  </w:footnote>
  <w:footnote w:id="5">
    <w:p>
      <w:pPr>
        <w:pStyle w:val="FootnoteText"/>
        <w:rPr/>
      </w:pPr>
      <w:r>
        <w:rPr>
          <w:rStyle w:val="Znakiprzypiswdolnych"/>
        </w:rPr>
        <w:footnoteRef/>
      </w:r>
      <w:r>
        <w:rPr/>
        <w:t xml:space="preserve">Dz. Urz. Woj. Lubuskiego, poz. 1657. </w:t>
      </w:r>
    </w:p>
  </w:footnote>
  <w:footnote w:id="6">
    <w:p>
      <w:pPr>
        <w:pStyle w:val="FootnoteText"/>
        <w:rPr/>
      </w:pPr>
      <w:r>
        <w:rPr>
          <w:rStyle w:val="Znakiprzypiswdolnych"/>
        </w:rPr>
        <w:footnoteRef/>
      </w:r>
      <w:r>
        <w:rPr/>
        <w:t xml:space="preserve"> </w:t>
      </w:r>
      <w:r>
        <w:rPr/>
        <w:t>Proces wyznaczenia obszaru zdegradowanego i obszaru rewitalizacji Gminy Nowe Miasteczko został szczegółowo opisany w dokumencie pn. „Diagnoza i wyznaczenie obszaru zdegradowanego i obszaru rewitalizacji Gminy Nowe Miasteczko”, dostępnym pod adresem: https://www.nowemiasteczko.pl/strona-3467-konsultacje_spoleczne_projektu_uchwaly.html</w:t>
      </w:r>
    </w:p>
  </w:footnote>
  <w:footnote w:id="7">
    <w:p>
      <w:pPr>
        <w:pStyle w:val="FootnoteText"/>
        <w:rPr/>
      </w:pPr>
      <w:r>
        <w:rPr>
          <w:rStyle w:val="Znakiprzypiswdolnych"/>
        </w:rPr>
        <w:footnoteRef/>
      </w:r>
      <w:r>
        <w:rPr/>
        <w:t xml:space="preserve"> </w:t>
      </w:r>
      <w:r>
        <w:rPr/>
        <w:t>Uchwała nr 366/5176/23 Zarządu Województwa Lubuskiego z dnia 7 listopada 2023 roku w sprawie zatwierdzenia „Procedury weryfikacji gminnych programów rewitalizacji w województwie lubuskim w perspektywie UE 2021-2027”</w:t>
      </w:r>
    </w:p>
  </w:footnote>
  <w:footnote w:id="8">
    <w:p>
      <w:pPr>
        <w:pStyle w:val="FootnoteText"/>
        <w:rPr/>
      </w:pPr>
      <w:r>
        <w:rPr>
          <w:rStyle w:val="Znakiprzypiswdolnych"/>
        </w:rPr>
        <w:footnoteRef/>
      </w:r>
      <w:r>
        <w:rPr/>
        <w:t xml:space="preserve"> </w:t>
      </w:r>
      <w:r>
        <w:rPr/>
        <w:t>Nawsie – plac w obrębie wsi poddańczej; otoczony zagrodami chłopskimi, pierwotnie stanowiło wspólną własność gminy i służyło jako wewnętrzny wygon do wypasu bydła i innych celów gospodarskich; od XVII w. częściowo zabudowywane, zanikło XIX–XX w. (za: Encyklopedia PWN)</w:t>
      </w:r>
    </w:p>
  </w:footnote>
</w:footnote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start"/>
      <w:pPr>
        <w:tabs>
          <w:tab w:val="num" w:pos="0"/>
        </w:tabs>
        <w:ind w:start="720" w:hanging="360"/>
      </w:pPr>
      <w:rPr>
        <w:rFonts w:ascii="Symbol" w:hAnsi="Symbol" w:cs="Symbol" w:hint="default"/>
      </w:rPr>
    </w:lvl>
    <w:lvl w:ilvl="1">
      <w:start w:val="1"/>
      <w:numFmt w:val="bullet"/>
      <w:lvlText w:val="o"/>
      <w:lvlJc w:val="start"/>
      <w:pPr>
        <w:tabs>
          <w:tab w:val="num" w:pos="0"/>
        </w:tabs>
        <w:ind w:start="1440" w:hanging="360"/>
      </w:pPr>
      <w:rPr>
        <w:rFonts w:ascii="Courier New" w:hAnsi="Courier New" w:cs="Courier New" w:hint="default"/>
      </w:rPr>
    </w:lvl>
    <w:lvl w:ilvl="2">
      <w:start w:val="1"/>
      <w:numFmt w:val="bullet"/>
      <w:lvlText w:val=""/>
      <w:lvlJc w:val="start"/>
      <w:pPr>
        <w:tabs>
          <w:tab w:val="num" w:pos="0"/>
        </w:tabs>
        <w:ind w:start="2160" w:hanging="360"/>
      </w:pPr>
      <w:rPr>
        <w:rFonts w:ascii="Wingdings" w:hAnsi="Wingdings" w:cs="Wingdings" w:hint="default"/>
      </w:rPr>
    </w:lvl>
    <w:lvl w:ilvl="3">
      <w:start w:val="1"/>
      <w:numFmt w:val="bullet"/>
      <w:lvlText w:val=""/>
      <w:lvlJc w:val="start"/>
      <w:pPr>
        <w:tabs>
          <w:tab w:val="num" w:pos="0"/>
        </w:tabs>
        <w:ind w:start="2880" w:hanging="360"/>
      </w:pPr>
      <w:rPr>
        <w:rFonts w:ascii="Symbol" w:hAnsi="Symbol" w:cs="Symbol" w:hint="default"/>
      </w:rPr>
    </w:lvl>
    <w:lvl w:ilvl="4">
      <w:start w:val="1"/>
      <w:numFmt w:val="bullet"/>
      <w:lvlText w:val="o"/>
      <w:lvlJc w:val="start"/>
      <w:pPr>
        <w:tabs>
          <w:tab w:val="num" w:pos="0"/>
        </w:tabs>
        <w:ind w:start="3600" w:hanging="360"/>
      </w:pPr>
      <w:rPr>
        <w:rFonts w:ascii="Courier New" w:hAnsi="Courier New" w:cs="Courier New" w:hint="default"/>
      </w:rPr>
    </w:lvl>
    <w:lvl w:ilvl="5">
      <w:start w:val="1"/>
      <w:numFmt w:val="bullet"/>
      <w:lvlText w:val=""/>
      <w:lvlJc w:val="start"/>
      <w:pPr>
        <w:tabs>
          <w:tab w:val="num" w:pos="0"/>
        </w:tabs>
        <w:ind w:start="4320" w:hanging="360"/>
      </w:pPr>
      <w:rPr>
        <w:rFonts w:ascii="Wingdings" w:hAnsi="Wingdings" w:cs="Wingdings" w:hint="default"/>
      </w:rPr>
    </w:lvl>
    <w:lvl w:ilvl="6">
      <w:start w:val="1"/>
      <w:numFmt w:val="bullet"/>
      <w:lvlText w:val=""/>
      <w:lvlJc w:val="start"/>
      <w:pPr>
        <w:tabs>
          <w:tab w:val="num" w:pos="0"/>
        </w:tabs>
        <w:ind w:start="5040" w:hanging="360"/>
      </w:pPr>
      <w:rPr>
        <w:rFonts w:ascii="Symbol" w:hAnsi="Symbol" w:cs="Symbol" w:hint="default"/>
      </w:rPr>
    </w:lvl>
    <w:lvl w:ilvl="7">
      <w:start w:val="1"/>
      <w:numFmt w:val="bullet"/>
      <w:lvlText w:val="o"/>
      <w:lvlJc w:val="start"/>
      <w:pPr>
        <w:tabs>
          <w:tab w:val="num" w:pos="0"/>
        </w:tabs>
        <w:ind w:start="5760" w:hanging="360"/>
      </w:pPr>
      <w:rPr>
        <w:rFonts w:ascii="Courier New" w:hAnsi="Courier New" w:cs="Courier New" w:hint="default"/>
      </w:rPr>
    </w:lvl>
    <w:lvl w:ilvl="8">
      <w:start w:val="1"/>
      <w:numFmt w:val="bullet"/>
      <w:lvlText w:val=""/>
      <w:lvlJc w:val="start"/>
      <w:pPr>
        <w:tabs>
          <w:tab w:val="num" w:pos="0"/>
        </w:tabs>
        <w:ind w:start="6480" w:hanging="360"/>
      </w:pPr>
      <w:rPr>
        <w:rFonts w:ascii="Wingdings" w:hAnsi="Wingdings" w:cs="Wingdings" w:hint="default"/>
      </w:rPr>
    </w:lvl>
  </w:abstractNum>
  <w:abstractNum w:abstractNumId="2">
    <w:lvl w:ilvl="0">
      <w:start w:val="1"/>
      <w:numFmt w:val="bullet"/>
      <w:lvlText w:val=""/>
      <w:lvlJc w:val="start"/>
      <w:pPr>
        <w:tabs>
          <w:tab w:val="num" w:pos="0"/>
        </w:tabs>
        <w:ind w:start="720" w:hanging="360"/>
      </w:pPr>
      <w:rPr>
        <w:rFonts w:ascii="Symbol" w:hAnsi="Symbol" w:cs="Symbol" w:hint="default"/>
      </w:rPr>
    </w:lvl>
    <w:lvl w:ilvl="1">
      <w:start w:val="1"/>
      <w:numFmt w:val="bullet"/>
      <w:lvlText w:val="o"/>
      <w:lvlJc w:val="start"/>
      <w:pPr>
        <w:tabs>
          <w:tab w:val="num" w:pos="0"/>
        </w:tabs>
        <w:ind w:start="1440" w:hanging="360"/>
      </w:pPr>
      <w:rPr>
        <w:rFonts w:ascii="Courier New" w:hAnsi="Courier New" w:cs="Courier New" w:hint="default"/>
      </w:rPr>
    </w:lvl>
    <w:lvl w:ilvl="2">
      <w:start w:val="1"/>
      <w:numFmt w:val="bullet"/>
      <w:lvlText w:val=""/>
      <w:lvlJc w:val="start"/>
      <w:pPr>
        <w:tabs>
          <w:tab w:val="num" w:pos="0"/>
        </w:tabs>
        <w:ind w:start="2160" w:hanging="360"/>
      </w:pPr>
      <w:rPr>
        <w:rFonts w:ascii="Wingdings" w:hAnsi="Wingdings" w:cs="Wingdings" w:hint="default"/>
      </w:rPr>
    </w:lvl>
    <w:lvl w:ilvl="3">
      <w:start w:val="1"/>
      <w:numFmt w:val="bullet"/>
      <w:lvlText w:val=""/>
      <w:lvlJc w:val="start"/>
      <w:pPr>
        <w:tabs>
          <w:tab w:val="num" w:pos="0"/>
        </w:tabs>
        <w:ind w:start="2880" w:hanging="360"/>
      </w:pPr>
      <w:rPr>
        <w:rFonts w:ascii="Symbol" w:hAnsi="Symbol" w:cs="Symbol" w:hint="default"/>
      </w:rPr>
    </w:lvl>
    <w:lvl w:ilvl="4">
      <w:start w:val="1"/>
      <w:numFmt w:val="bullet"/>
      <w:lvlText w:val="o"/>
      <w:lvlJc w:val="start"/>
      <w:pPr>
        <w:tabs>
          <w:tab w:val="num" w:pos="0"/>
        </w:tabs>
        <w:ind w:start="3600" w:hanging="360"/>
      </w:pPr>
      <w:rPr>
        <w:rFonts w:ascii="Courier New" w:hAnsi="Courier New" w:cs="Courier New" w:hint="default"/>
      </w:rPr>
    </w:lvl>
    <w:lvl w:ilvl="5">
      <w:start w:val="1"/>
      <w:numFmt w:val="bullet"/>
      <w:lvlText w:val=""/>
      <w:lvlJc w:val="start"/>
      <w:pPr>
        <w:tabs>
          <w:tab w:val="num" w:pos="0"/>
        </w:tabs>
        <w:ind w:start="4320" w:hanging="360"/>
      </w:pPr>
      <w:rPr>
        <w:rFonts w:ascii="Wingdings" w:hAnsi="Wingdings" w:cs="Wingdings" w:hint="default"/>
      </w:rPr>
    </w:lvl>
    <w:lvl w:ilvl="6">
      <w:start w:val="1"/>
      <w:numFmt w:val="bullet"/>
      <w:lvlText w:val=""/>
      <w:lvlJc w:val="start"/>
      <w:pPr>
        <w:tabs>
          <w:tab w:val="num" w:pos="0"/>
        </w:tabs>
        <w:ind w:start="5040" w:hanging="360"/>
      </w:pPr>
      <w:rPr>
        <w:rFonts w:ascii="Symbol" w:hAnsi="Symbol" w:cs="Symbol" w:hint="default"/>
      </w:rPr>
    </w:lvl>
    <w:lvl w:ilvl="7">
      <w:start w:val="1"/>
      <w:numFmt w:val="bullet"/>
      <w:lvlText w:val="o"/>
      <w:lvlJc w:val="start"/>
      <w:pPr>
        <w:tabs>
          <w:tab w:val="num" w:pos="0"/>
        </w:tabs>
        <w:ind w:start="5760" w:hanging="360"/>
      </w:pPr>
      <w:rPr>
        <w:rFonts w:ascii="Courier New" w:hAnsi="Courier New" w:cs="Courier New" w:hint="default"/>
      </w:rPr>
    </w:lvl>
    <w:lvl w:ilvl="8">
      <w:start w:val="1"/>
      <w:numFmt w:val="bullet"/>
      <w:lvlText w:val=""/>
      <w:lvlJc w:val="start"/>
      <w:pPr>
        <w:tabs>
          <w:tab w:val="num" w:pos="0"/>
        </w:tabs>
        <w:ind w:start="6480" w:hanging="360"/>
      </w:pPr>
      <w:rPr>
        <w:rFonts w:ascii="Wingdings" w:hAnsi="Wingdings" w:cs="Wingdings" w:hint="default"/>
      </w:rPr>
    </w:lvl>
  </w:abstractNum>
  <w:abstractNum w:abstractNumId="3">
    <w:lvl w:ilvl="0">
      <w:start w:val="1"/>
      <w:numFmt w:val="bullet"/>
      <w:lvlText w:val=""/>
      <w:lvlJc w:val="start"/>
      <w:pPr>
        <w:tabs>
          <w:tab w:val="num" w:pos="0"/>
        </w:tabs>
        <w:ind w:start="720" w:hanging="360"/>
      </w:pPr>
      <w:rPr>
        <w:rFonts w:ascii="Symbol" w:hAnsi="Symbol" w:cs="Symbol" w:hint="default"/>
      </w:rPr>
    </w:lvl>
    <w:lvl w:ilvl="1">
      <w:start w:val="1"/>
      <w:numFmt w:val="bullet"/>
      <w:lvlText w:val="o"/>
      <w:lvlJc w:val="start"/>
      <w:pPr>
        <w:tabs>
          <w:tab w:val="num" w:pos="0"/>
        </w:tabs>
        <w:ind w:start="1440" w:hanging="360"/>
      </w:pPr>
      <w:rPr>
        <w:rFonts w:ascii="Courier New" w:hAnsi="Courier New" w:cs="Courier New" w:hint="default"/>
      </w:rPr>
    </w:lvl>
    <w:lvl w:ilvl="2">
      <w:start w:val="1"/>
      <w:numFmt w:val="bullet"/>
      <w:lvlText w:val=""/>
      <w:lvlJc w:val="start"/>
      <w:pPr>
        <w:tabs>
          <w:tab w:val="num" w:pos="0"/>
        </w:tabs>
        <w:ind w:start="2160" w:hanging="360"/>
      </w:pPr>
      <w:rPr>
        <w:rFonts w:ascii="Wingdings" w:hAnsi="Wingdings" w:cs="Wingdings" w:hint="default"/>
      </w:rPr>
    </w:lvl>
    <w:lvl w:ilvl="3">
      <w:start w:val="1"/>
      <w:numFmt w:val="bullet"/>
      <w:lvlText w:val=""/>
      <w:lvlJc w:val="start"/>
      <w:pPr>
        <w:tabs>
          <w:tab w:val="num" w:pos="0"/>
        </w:tabs>
        <w:ind w:start="2880" w:hanging="360"/>
      </w:pPr>
      <w:rPr>
        <w:rFonts w:ascii="Symbol" w:hAnsi="Symbol" w:cs="Symbol" w:hint="default"/>
      </w:rPr>
    </w:lvl>
    <w:lvl w:ilvl="4">
      <w:start w:val="1"/>
      <w:numFmt w:val="bullet"/>
      <w:lvlText w:val="o"/>
      <w:lvlJc w:val="start"/>
      <w:pPr>
        <w:tabs>
          <w:tab w:val="num" w:pos="0"/>
        </w:tabs>
        <w:ind w:start="3600" w:hanging="360"/>
      </w:pPr>
      <w:rPr>
        <w:rFonts w:ascii="Courier New" w:hAnsi="Courier New" w:cs="Courier New" w:hint="default"/>
      </w:rPr>
    </w:lvl>
    <w:lvl w:ilvl="5">
      <w:start w:val="1"/>
      <w:numFmt w:val="bullet"/>
      <w:lvlText w:val=""/>
      <w:lvlJc w:val="start"/>
      <w:pPr>
        <w:tabs>
          <w:tab w:val="num" w:pos="0"/>
        </w:tabs>
        <w:ind w:start="4320" w:hanging="360"/>
      </w:pPr>
      <w:rPr>
        <w:rFonts w:ascii="Wingdings" w:hAnsi="Wingdings" w:cs="Wingdings" w:hint="default"/>
      </w:rPr>
    </w:lvl>
    <w:lvl w:ilvl="6">
      <w:start w:val="1"/>
      <w:numFmt w:val="bullet"/>
      <w:lvlText w:val=""/>
      <w:lvlJc w:val="start"/>
      <w:pPr>
        <w:tabs>
          <w:tab w:val="num" w:pos="0"/>
        </w:tabs>
        <w:ind w:start="5040" w:hanging="360"/>
      </w:pPr>
      <w:rPr>
        <w:rFonts w:ascii="Symbol" w:hAnsi="Symbol" w:cs="Symbol" w:hint="default"/>
      </w:rPr>
    </w:lvl>
    <w:lvl w:ilvl="7">
      <w:start w:val="1"/>
      <w:numFmt w:val="bullet"/>
      <w:lvlText w:val="o"/>
      <w:lvlJc w:val="start"/>
      <w:pPr>
        <w:tabs>
          <w:tab w:val="num" w:pos="0"/>
        </w:tabs>
        <w:ind w:start="5760" w:hanging="360"/>
      </w:pPr>
      <w:rPr>
        <w:rFonts w:ascii="Courier New" w:hAnsi="Courier New" w:cs="Courier New" w:hint="default"/>
      </w:rPr>
    </w:lvl>
    <w:lvl w:ilvl="8">
      <w:start w:val="1"/>
      <w:numFmt w:val="bullet"/>
      <w:lvlText w:val=""/>
      <w:lvlJc w:val="start"/>
      <w:pPr>
        <w:tabs>
          <w:tab w:val="num" w:pos="0"/>
        </w:tabs>
        <w:ind w:start="6480" w:hanging="360"/>
      </w:pPr>
      <w:rPr>
        <w:rFonts w:ascii="Wingdings" w:hAnsi="Wingdings" w:cs="Wingdings" w:hint="default"/>
      </w:rPr>
    </w:lvl>
  </w:abstractNum>
  <w:abstractNum w:abstractNumId="4">
    <w:lvl w:ilvl="0">
      <w:start w:val="1"/>
      <w:numFmt w:val="lowerLetter"/>
      <w:suff w:val="nothing"/>
      <w:lvlText w:val="%1)"/>
      <w:lvlJc w:val="start"/>
      <w:pPr>
        <w:tabs>
          <w:tab w:val="num" w:pos="0"/>
        </w:tabs>
        <w:ind w:start="0" w:hanging="0"/>
      </w:pPr>
      <w:rPr/>
    </w:lvl>
    <w:lvl w:ilvl="1">
      <w:start w:val="1"/>
      <w:numFmt w:val="lowerLetter"/>
      <w:lvlText w:val="%2."/>
      <w:lvlJc w:val="start"/>
      <w:pPr>
        <w:tabs>
          <w:tab w:val="num" w:pos="0"/>
        </w:tabs>
        <w:ind w:start="1440" w:hanging="360"/>
      </w:pPr>
      <w:rPr/>
    </w:lvl>
    <w:lvl w:ilvl="2">
      <w:start w:val="1"/>
      <w:numFmt w:val="lowerRoman"/>
      <w:lvlText w:val="%3."/>
      <w:lvlJc w:val="end"/>
      <w:pPr>
        <w:tabs>
          <w:tab w:val="num" w:pos="0"/>
        </w:tabs>
        <w:ind w:start="2160" w:hanging="180"/>
      </w:pPr>
      <w:rPr/>
    </w:lvl>
    <w:lvl w:ilvl="3">
      <w:start w:val="1"/>
      <w:numFmt w:val="decimal"/>
      <w:lvlText w:val="%4."/>
      <w:lvlJc w:val="start"/>
      <w:pPr>
        <w:tabs>
          <w:tab w:val="num" w:pos="0"/>
        </w:tabs>
        <w:ind w:start="360" w:hanging="360"/>
      </w:pPr>
      <w:rPr/>
    </w:lvl>
    <w:lvl w:ilvl="4">
      <w:start w:val="1"/>
      <w:numFmt w:val="lowerLetter"/>
      <w:lvlText w:val="%5."/>
      <w:lvlJc w:val="start"/>
      <w:pPr>
        <w:tabs>
          <w:tab w:val="num" w:pos="0"/>
        </w:tabs>
        <w:ind w:start="3600" w:hanging="360"/>
      </w:pPr>
      <w:rPr/>
    </w:lvl>
    <w:lvl w:ilvl="5">
      <w:start w:val="1"/>
      <w:numFmt w:val="lowerRoman"/>
      <w:lvlText w:val="%6."/>
      <w:lvlJc w:val="end"/>
      <w:pPr>
        <w:tabs>
          <w:tab w:val="num" w:pos="0"/>
        </w:tabs>
        <w:ind w:start="4320" w:hanging="180"/>
      </w:pPr>
      <w:rPr/>
    </w:lvl>
    <w:lvl w:ilvl="6">
      <w:start w:val="1"/>
      <w:numFmt w:val="decimal"/>
      <w:lvlText w:val="%7."/>
      <w:lvlJc w:val="start"/>
      <w:pPr>
        <w:tabs>
          <w:tab w:val="num" w:pos="0"/>
        </w:tabs>
        <w:ind w:start="5040" w:hanging="360"/>
      </w:pPr>
      <w:rPr/>
    </w:lvl>
    <w:lvl w:ilvl="7">
      <w:start w:val="1"/>
      <w:numFmt w:val="lowerLetter"/>
      <w:lvlText w:val="%8."/>
      <w:lvlJc w:val="start"/>
      <w:pPr>
        <w:tabs>
          <w:tab w:val="num" w:pos="0"/>
        </w:tabs>
        <w:ind w:start="5760" w:hanging="360"/>
      </w:pPr>
      <w:rPr/>
    </w:lvl>
    <w:lvl w:ilvl="8">
      <w:start w:val="1"/>
      <w:numFmt w:val="lowerRoman"/>
      <w:lvlText w:val="%9."/>
      <w:lvlJc w:val="end"/>
      <w:pPr>
        <w:tabs>
          <w:tab w:val="num" w:pos="0"/>
        </w:tabs>
        <w:ind w:start="6480" w:hanging="180"/>
      </w:pPr>
      <w:rPr/>
    </w:lvl>
  </w:abstractNum>
  <w:abstractNum w:abstractNumId="5">
    <w:lvl w:ilvl="0">
      <w:start w:val="1"/>
      <w:numFmt w:val="decimal"/>
      <w:lvlText w:val="%1."/>
      <w:lvlJc w:val="start"/>
      <w:pPr>
        <w:tabs>
          <w:tab w:val="num" w:pos="0"/>
        </w:tabs>
        <w:ind w:start="720" w:hanging="360"/>
      </w:pPr>
      <w:rPr/>
    </w:lvl>
    <w:lvl w:ilvl="1">
      <w:start w:val="1"/>
      <w:numFmt w:val="lowerLetter"/>
      <w:lvlText w:val="%2."/>
      <w:lvlJc w:val="start"/>
      <w:pPr>
        <w:tabs>
          <w:tab w:val="num" w:pos="0"/>
        </w:tabs>
        <w:ind w:start="1440" w:hanging="360"/>
      </w:pPr>
      <w:rPr/>
    </w:lvl>
    <w:lvl w:ilvl="2">
      <w:start w:val="1"/>
      <w:numFmt w:val="lowerRoman"/>
      <w:lvlText w:val="%3."/>
      <w:lvlJc w:val="end"/>
      <w:pPr>
        <w:tabs>
          <w:tab w:val="num" w:pos="0"/>
        </w:tabs>
        <w:ind w:start="2160" w:hanging="180"/>
      </w:pPr>
      <w:rPr/>
    </w:lvl>
    <w:lvl w:ilvl="3">
      <w:start w:val="1"/>
      <w:numFmt w:val="decimal"/>
      <w:lvlText w:val="%4."/>
      <w:lvlJc w:val="start"/>
      <w:pPr>
        <w:tabs>
          <w:tab w:val="num" w:pos="0"/>
        </w:tabs>
        <w:ind w:start="2880" w:hanging="360"/>
      </w:pPr>
      <w:rPr/>
    </w:lvl>
    <w:lvl w:ilvl="4">
      <w:start w:val="1"/>
      <w:numFmt w:val="lowerLetter"/>
      <w:lvlText w:val="%5."/>
      <w:lvlJc w:val="start"/>
      <w:pPr>
        <w:tabs>
          <w:tab w:val="num" w:pos="0"/>
        </w:tabs>
        <w:ind w:start="3600" w:hanging="360"/>
      </w:pPr>
      <w:rPr/>
    </w:lvl>
    <w:lvl w:ilvl="5">
      <w:start w:val="1"/>
      <w:numFmt w:val="lowerRoman"/>
      <w:lvlText w:val="%6."/>
      <w:lvlJc w:val="end"/>
      <w:pPr>
        <w:tabs>
          <w:tab w:val="num" w:pos="0"/>
        </w:tabs>
        <w:ind w:start="4320" w:hanging="180"/>
      </w:pPr>
      <w:rPr/>
    </w:lvl>
    <w:lvl w:ilvl="6">
      <w:start w:val="1"/>
      <w:numFmt w:val="decimal"/>
      <w:lvlText w:val="%7."/>
      <w:lvlJc w:val="start"/>
      <w:pPr>
        <w:tabs>
          <w:tab w:val="num" w:pos="0"/>
        </w:tabs>
        <w:ind w:start="5040" w:hanging="360"/>
      </w:pPr>
      <w:rPr/>
    </w:lvl>
    <w:lvl w:ilvl="7">
      <w:start w:val="1"/>
      <w:numFmt w:val="lowerLetter"/>
      <w:lvlText w:val="%8."/>
      <w:lvlJc w:val="start"/>
      <w:pPr>
        <w:tabs>
          <w:tab w:val="num" w:pos="0"/>
        </w:tabs>
        <w:ind w:start="5760" w:hanging="360"/>
      </w:pPr>
      <w:rPr/>
    </w:lvl>
    <w:lvl w:ilvl="8">
      <w:start w:val="1"/>
      <w:numFmt w:val="lowerRoman"/>
      <w:lvlText w:val="%9."/>
      <w:lvlJc w:val="end"/>
      <w:pPr>
        <w:tabs>
          <w:tab w:val="num" w:pos="0"/>
        </w:tabs>
        <w:ind w:start="6480" w:hanging="180"/>
      </w:pPr>
      <w:rPr/>
    </w:lvl>
  </w:abstractNum>
  <w:abstractNum w:abstractNumId="6">
    <w:lvl w:ilvl="0">
      <w:start w:val="1"/>
      <w:numFmt w:val="bullet"/>
      <w:lvlText w:val=""/>
      <w:lvlJc w:val="start"/>
      <w:pPr>
        <w:tabs>
          <w:tab w:val="num" w:pos="0"/>
        </w:tabs>
        <w:ind w:start="720" w:hanging="360"/>
      </w:pPr>
      <w:rPr>
        <w:rFonts w:ascii="Symbol" w:hAnsi="Symbol" w:cs="Symbol" w:hint="default"/>
      </w:rPr>
    </w:lvl>
    <w:lvl w:ilvl="1">
      <w:start w:val="1"/>
      <w:numFmt w:val="bullet"/>
      <w:lvlText w:val="o"/>
      <w:lvlJc w:val="start"/>
      <w:pPr>
        <w:tabs>
          <w:tab w:val="num" w:pos="0"/>
        </w:tabs>
        <w:ind w:start="1440" w:hanging="360"/>
      </w:pPr>
      <w:rPr>
        <w:rFonts w:ascii="Courier New" w:hAnsi="Courier New" w:cs="Courier New" w:hint="default"/>
      </w:rPr>
    </w:lvl>
    <w:lvl w:ilvl="2">
      <w:start w:val="1"/>
      <w:numFmt w:val="bullet"/>
      <w:lvlText w:val=""/>
      <w:lvlJc w:val="start"/>
      <w:pPr>
        <w:tabs>
          <w:tab w:val="num" w:pos="0"/>
        </w:tabs>
        <w:ind w:start="2160" w:hanging="360"/>
      </w:pPr>
      <w:rPr>
        <w:rFonts w:ascii="Wingdings" w:hAnsi="Wingdings" w:cs="Wingdings" w:hint="default"/>
      </w:rPr>
    </w:lvl>
    <w:lvl w:ilvl="3">
      <w:start w:val="1"/>
      <w:numFmt w:val="bullet"/>
      <w:lvlText w:val=""/>
      <w:lvlJc w:val="start"/>
      <w:pPr>
        <w:tabs>
          <w:tab w:val="num" w:pos="0"/>
        </w:tabs>
        <w:ind w:start="2880" w:hanging="360"/>
      </w:pPr>
      <w:rPr>
        <w:rFonts w:ascii="Symbol" w:hAnsi="Symbol" w:cs="Symbol" w:hint="default"/>
      </w:rPr>
    </w:lvl>
    <w:lvl w:ilvl="4">
      <w:start w:val="1"/>
      <w:numFmt w:val="bullet"/>
      <w:lvlText w:val="o"/>
      <w:lvlJc w:val="start"/>
      <w:pPr>
        <w:tabs>
          <w:tab w:val="num" w:pos="0"/>
        </w:tabs>
        <w:ind w:start="3600" w:hanging="360"/>
      </w:pPr>
      <w:rPr>
        <w:rFonts w:ascii="Courier New" w:hAnsi="Courier New" w:cs="Courier New" w:hint="default"/>
      </w:rPr>
    </w:lvl>
    <w:lvl w:ilvl="5">
      <w:start w:val="1"/>
      <w:numFmt w:val="bullet"/>
      <w:lvlText w:val=""/>
      <w:lvlJc w:val="start"/>
      <w:pPr>
        <w:tabs>
          <w:tab w:val="num" w:pos="0"/>
        </w:tabs>
        <w:ind w:start="4320" w:hanging="360"/>
      </w:pPr>
      <w:rPr>
        <w:rFonts w:ascii="Wingdings" w:hAnsi="Wingdings" w:cs="Wingdings" w:hint="default"/>
      </w:rPr>
    </w:lvl>
    <w:lvl w:ilvl="6">
      <w:start w:val="1"/>
      <w:numFmt w:val="bullet"/>
      <w:lvlText w:val=""/>
      <w:lvlJc w:val="start"/>
      <w:pPr>
        <w:tabs>
          <w:tab w:val="num" w:pos="0"/>
        </w:tabs>
        <w:ind w:start="5040" w:hanging="360"/>
      </w:pPr>
      <w:rPr>
        <w:rFonts w:ascii="Symbol" w:hAnsi="Symbol" w:cs="Symbol" w:hint="default"/>
      </w:rPr>
    </w:lvl>
    <w:lvl w:ilvl="7">
      <w:start w:val="1"/>
      <w:numFmt w:val="bullet"/>
      <w:lvlText w:val="o"/>
      <w:lvlJc w:val="start"/>
      <w:pPr>
        <w:tabs>
          <w:tab w:val="num" w:pos="0"/>
        </w:tabs>
        <w:ind w:start="5760" w:hanging="360"/>
      </w:pPr>
      <w:rPr>
        <w:rFonts w:ascii="Courier New" w:hAnsi="Courier New" w:cs="Courier New" w:hint="default"/>
      </w:rPr>
    </w:lvl>
    <w:lvl w:ilvl="8">
      <w:start w:val="1"/>
      <w:numFmt w:val="bullet"/>
      <w:lvlText w:val=""/>
      <w:lvlJc w:val="start"/>
      <w:pPr>
        <w:tabs>
          <w:tab w:val="num" w:pos="0"/>
        </w:tabs>
        <w:ind w:start="6480" w:hanging="360"/>
      </w:pPr>
      <w:rPr>
        <w:rFonts w:ascii="Wingdings" w:hAnsi="Wingdings" w:cs="Wingdings" w:hint="default"/>
      </w:rPr>
    </w:lvl>
  </w:abstractNum>
  <w:abstractNum w:abstractNumId="7">
    <w:lvl w:ilvl="0">
      <w:start w:val="1"/>
      <w:numFmt w:val="bullet"/>
      <w:lvlText w:val=""/>
      <w:lvlJc w:val="start"/>
      <w:pPr>
        <w:tabs>
          <w:tab w:val="num" w:pos="0"/>
        </w:tabs>
        <w:ind w:start="720" w:hanging="360"/>
      </w:pPr>
      <w:rPr>
        <w:rFonts w:ascii="Wingdings" w:hAnsi="Wingdings" w:cs="Wingdings" w:hint="default"/>
      </w:rPr>
    </w:lvl>
    <w:lvl w:ilvl="1">
      <w:start w:val="1"/>
      <w:numFmt w:val="bullet"/>
      <w:lvlText w:val="o"/>
      <w:lvlJc w:val="start"/>
      <w:pPr>
        <w:tabs>
          <w:tab w:val="num" w:pos="0"/>
        </w:tabs>
        <w:ind w:start="1440" w:hanging="360"/>
      </w:pPr>
      <w:rPr>
        <w:rFonts w:ascii="Courier New" w:hAnsi="Courier New" w:cs="Courier New" w:hint="default"/>
      </w:rPr>
    </w:lvl>
    <w:lvl w:ilvl="2">
      <w:start w:val="1"/>
      <w:numFmt w:val="bullet"/>
      <w:lvlText w:val=""/>
      <w:lvlJc w:val="start"/>
      <w:pPr>
        <w:tabs>
          <w:tab w:val="num" w:pos="0"/>
        </w:tabs>
        <w:ind w:start="2160" w:hanging="360"/>
      </w:pPr>
      <w:rPr>
        <w:rFonts w:ascii="Wingdings" w:hAnsi="Wingdings" w:cs="Wingdings" w:hint="default"/>
      </w:rPr>
    </w:lvl>
    <w:lvl w:ilvl="3">
      <w:start w:val="1"/>
      <w:numFmt w:val="bullet"/>
      <w:lvlText w:val=""/>
      <w:lvlJc w:val="start"/>
      <w:pPr>
        <w:tabs>
          <w:tab w:val="num" w:pos="0"/>
        </w:tabs>
        <w:ind w:start="2880" w:hanging="360"/>
      </w:pPr>
      <w:rPr>
        <w:rFonts w:ascii="Symbol" w:hAnsi="Symbol" w:cs="Symbol" w:hint="default"/>
      </w:rPr>
    </w:lvl>
    <w:lvl w:ilvl="4">
      <w:start w:val="1"/>
      <w:numFmt w:val="bullet"/>
      <w:lvlText w:val="o"/>
      <w:lvlJc w:val="start"/>
      <w:pPr>
        <w:tabs>
          <w:tab w:val="num" w:pos="0"/>
        </w:tabs>
        <w:ind w:start="3600" w:hanging="360"/>
      </w:pPr>
      <w:rPr>
        <w:rFonts w:ascii="Courier New" w:hAnsi="Courier New" w:cs="Courier New" w:hint="default"/>
      </w:rPr>
    </w:lvl>
    <w:lvl w:ilvl="5">
      <w:start w:val="1"/>
      <w:numFmt w:val="bullet"/>
      <w:lvlText w:val=""/>
      <w:lvlJc w:val="start"/>
      <w:pPr>
        <w:tabs>
          <w:tab w:val="num" w:pos="0"/>
        </w:tabs>
        <w:ind w:start="4320" w:hanging="360"/>
      </w:pPr>
      <w:rPr>
        <w:rFonts w:ascii="Wingdings" w:hAnsi="Wingdings" w:cs="Wingdings" w:hint="default"/>
      </w:rPr>
    </w:lvl>
    <w:lvl w:ilvl="6">
      <w:start w:val="1"/>
      <w:numFmt w:val="bullet"/>
      <w:lvlText w:val=""/>
      <w:lvlJc w:val="start"/>
      <w:pPr>
        <w:tabs>
          <w:tab w:val="num" w:pos="0"/>
        </w:tabs>
        <w:ind w:start="5040" w:hanging="360"/>
      </w:pPr>
      <w:rPr>
        <w:rFonts w:ascii="Symbol" w:hAnsi="Symbol" w:cs="Symbol" w:hint="default"/>
      </w:rPr>
    </w:lvl>
    <w:lvl w:ilvl="7">
      <w:start w:val="1"/>
      <w:numFmt w:val="bullet"/>
      <w:lvlText w:val="o"/>
      <w:lvlJc w:val="start"/>
      <w:pPr>
        <w:tabs>
          <w:tab w:val="num" w:pos="0"/>
        </w:tabs>
        <w:ind w:start="5760" w:hanging="360"/>
      </w:pPr>
      <w:rPr>
        <w:rFonts w:ascii="Courier New" w:hAnsi="Courier New" w:cs="Courier New" w:hint="default"/>
      </w:rPr>
    </w:lvl>
    <w:lvl w:ilvl="8">
      <w:start w:val="1"/>
      <w:numFmt w:val="bullet"/>
      <w:lvlText w:val=""/>
      <w:lvlJc w:val="start"/>
      <w:pPr>
        <w:tabs>
          <w:tab w:val="num" w:pos="0"/>
        </w:tabs>
        <w:ind w:start="6480" w:hanging="360"/>
      </w:pPr>
      <w:rPr>
        <w:rFonts w:ascii="Wingdings" w:hAnsi="Wingdings" w:cs="Wingdings" w:hint="default"/>
      </w:rPr>
    </w:lvl>
  </w:abstractNum>
  <w:abstractNum w:abstractNumId="8">
    <w:lvl w:ilvl="0">
      <w:start w:val="1"/>
      <w:numFmt w:val="bullet"/>
      <w:lvlText w:val="o"/>
      <w:lvlJc w:val="start"/>
      <w:pPr>
        <w:tabs>
          <w:tab w:val="num" w:pos="0"/>
        </w:tabs>
        <w:ind w:start="720" w:hanging="360"/>
      </w:pPr>
      <w:rPr>
        <w:rFonts w:ascii="Courier New" w:hAnsi="Courier New" w:cs="Courier New" w:hint="default"/>
      </w:rPr>
    </w:lvl>
    <w:lvl w:ilvl="1">
      <w:start w:val="1"/>
      <w:numFmt w:val="bullet"/>
      <w:lvlText w:val="o"/>
      <w:lvlJc w:val="start"/>
      <w:pPr>
        <w:tabs>
          <w:tab w:val="num" w:pos="0"/>
        </w:tabs>
        <w:ind w:start="1440" w:hanging="360"/>
      </w:pPr>
      <w:rPr>
        <w:rFonts w:ascii="Courier New" w:hAnsi="Courier New" w:cs="Courier New" w:hint="default"/>
      </w:rPr>
    </w:lvl>
    <w:lvl w:ilvl="2">
      <w:start w:val="1"/>
      <w:numFmt w:val="bullet"/>
      <w:lvlText w:val=""/>
      <w:lvlJc w:val="start"/>
      <w:pPr>
        <w:tabs>
          <w:tab w:val="num" w:pos="0"/>
        </w:tabs>
        <w:ind w:start="2160" w:hanging="360"/>
      </w:pPr>
      <w:rPr>
        <w:rFonts w:ascii="Wingdings" w:hAnsi="Wingdings" w:cs="Wingdings" w:hint="default"/>
      </w:rPr>
    </w:lvl>
    <w:lvl w:ilvl="3">
      <w:start w:val="1"/>
      <w:numFmt w:val="bullet"/>
      <w:lvlText w:val=""/>
      <w:lvlJc w:val="start"/>
      <w:pPr>
        <w:tabs>
          <w:tab w:val="num" w:pos="0"/>
        </w:tabs>
        <w:ind w:start="2880" w:hanging="360"/>
      </w:pPr>
      <w:rPr>
        <w:rFonts w:ascii="Symbol" w:hAnsi="Symbol" w:cs="Symbol" w:hint="default"/>
      </w:rPr>
    </w:lvl>
    <w:lvl w:ilvl="4">
      <w:start w:val="1"/>
      <w:numFmt w:val="bullet"/>
      <w:lvlText w:val="o"/>
      <w:lvlJc w:val="start"/>
      <w:pPr>
        <w:tabs>
          <w:tab w:val="num" w:pos="0"/>
        </w:tabs>
        <w:ind w:start="3600" w:hanging="360"/>
      </w:pPr>
      <w:rPr>
        <w:rFonts w:ascii="Courier New" w:hAnsi="Courier New" w:cs="Courier New" w:hint="default"/>
      </w:rPr>
    </w:lvl>
    <w:lvl w:ilvl="5">
      <w:start w:val="1"/>
      <w:numFmt w:val="bullet"/>
      <w:lvlText w:val=""/>
      <w:lvlJc w:val="start"/>
      <w:pPr>
        <w:tabs>
          <w:tab w:val="num" w:pos="0"/>
        </w:tabs>
        <w:ind w:start="4320" w:hanging="360"/>
      </w:pPr>
      <w:rPr>
        <w:rFonts w:ascii="Wingdings" w:hAnsi="Wingdings" w:cs="Wingdings" w:hint="default"/>
      </w:rPr>
    </w:lvl>
    <w:lvl w:ilvl="6">
      <w:start w:val="1"/>
      <w:numFmt w:val="bullet"/>
      <w:lvlText w:val=""/>
      <w:lvlJc w:val="start"/>
      <w:pPr>
        <w:tabs>
          <w:tab w:val="num" w:pos="0"/>
        </w:tabs>
        <w:ind w:start="5040" w:hanging="360"/>
      </w:pPr>
      <w:rPr>
        <w:rFonts w:ascii="Symbol" w:hAnsi="Symbol" w:cs="Symbol" w:hint="default"/>
      </w:rPr>
    </w:lvl>
    <w:lvl w:ilvl="7">
      <w:start w:val="1"/>
      <w:numFmt w:val="bullet"/>
      <w:lvlText w:val="o"/>
      <w:lvlJc w:val="start"/>
      <w:pPr>
        <w:tabs>
          <w:tab w:val="num" w:pos="0"/>
        </w:tabs>
        <w:ind w:start="5760" w:hanging="360"/>
      </w:pPr>
      <w:rPr>
        <w:rFonts w:ascii="Courier New" w:hAnsi="Courier New" w:cs="Courier New" w:hint="default"/>
      </w:rPr>
    </w:lvl>
    <w:lvl w:ilvl="8">
      <w:start w:val="1"/>
      <w:numFmt w:val="bullet"/>
      <w:lvlText w:val=""/>
      <w:lvlJc w:val="start"/>
      <w:pPr>
        <w:tabs>
          <w:tab w:val="num" w:pos="0"/>
        </w:tabs>
        <w:ind w:start="6480" w:hanging="360"/>
      </w:pPr>
      <w:rPr>
        <w:rFonts w:ascii="Wingdings" w:hAnsi="Wingdings" w:cs="Wingdings" w:hint="default"/>
      </w:rPr>
    </w:lvl>
  </w:abstractNum>
  <w:abstractNum w:abstractNumId="9">
    <w:lvl w:ilvl="0">
      <w:start w:val="1"/>
      <w:numFmt w:val="decimal"/>
      <w:lvlText w:val="%1."/>
      <w:lvlJc w:val="start"/>
      <w:pPr>
        <w:tabs>
          <w:tab w:val="num" w:pos="0"/>
        </w:tabs>
        <w:ind w:start="360" w:hanging="360"/>
      </w:pPr>
      <w:rPr/>
    </w:lvl>
    <w:lvl w:ilvl="1">
      <w:start w:val="1"/>
      <w:numFmt w:val="decimal"/>
      <w:lvlText w:val="%1.%2."/>
      <w:lvlJc w:val="start"/>
      <w:pPr>
        <w:tabs>
          <w:tab w:val="num" w:pos="0"/>
        </w:tabs>
        <w:ind w:start="792" w:hanging="432"/>
      </w:pPr>
      <w:rPr/>
    </w:lvl>
    <w:lvl w:ilvl="2">
      <w:start w:val="1"/>
      <w:numFmt w:val="decimal"/>
      <w:lvlText w:val="%1.%2.%3."/>
      <w:lvlJc w:val="start"/>
      <w:pPr>
        <w:tabs>
          <w:tab w:val="num" w:pos="0"/>
        </w:tabs>
        <w:ind w:start="3764" w:hanging="504"/>
      </w:pPr>
      <w:rPr/>
    </w:lvl>
    <w:lvl w:ilvl="3">
      <w:start w:val="1"/>
      <w:numFmt w:val="decimal"/>
      <w:lvlText w:val="%1.%2.%3.%4."/>
      <w:lvlJc w:val="start"/>
      <w:pPr>
        <w:tabs>
          <w:tab w:val="num" w:pos="0"/>
        </w:tabs>
        <w:ind w:start="1728" w:hanging="648"/>
      </w:pPr>
      <w:rPr/>
    </w:lvl>
    <w:lvl w:ilvl="4">
      <w:start w:val="1"/>
      <w:numFmt w:val="decimal"/>
      <w:lvlText w:val="%1.%2.%3.%4.%5."/>
      <w:lvlJc w:val="start"/>
      <w:pPr>
        <w:tabs>
          <w:tab w:val="num" w:pos="0"/>
        </w:tabs>
        <w:ind w:start="2232" w:hanging="792"/>
      </w:pPr>
      <w:rPr/>
    </w:lvl>
    <w:lvl w:ilvl="5">
      <w:start w:val="1"/>
      <w:numFmt w:val="decimal"/>
      <w:lvlText w:val="%1.%2.%3.%4.%5.%6."/>
      <w:lvlJc w:val="start"/>
      <w:pPr>
        <w:tabs>
          <w:tab w:val="num" w:pos="0"/>
        </w:tabs>
        <w:ind w:start="2736" w:hanging="936"/>
      </w:pPr>
      <w:rPr/>
    </w:lvl>
    <w:lvl w:ilvl="6">
      <w:start w:val="1"/>
      <w:numFmt w:val="decimal"/>
      <w:lvlText w:val="%1.%2.%3.%4.%5.%6.%7."/>
      <w:lvlJc w:val="start"/>
      <w:pPr>
        <w:tabs>
          <w:tab w:val="num" w:pos="0"/>
        </w:tabs>
        <w:ind w:start="3240" w:hanging="1080"/>
      </w:pPr>
      <w:rPr/>
    </w:lvl>
    <w:lvl w:ilvl="7">
      <w:start w:val="1"/>
      <w:numFmt w:val="decimal"/>
      <w:lvlText w:val="%1.%2.%3.%4.%5.%6.%7.%8."/>
      <w:lvlJc w:val="start"/>
      <w:pPr>
        <w:tabs>
          <w:tab w:val="num" w:pos="0"/>
        </w:tabs>
        <w:ind w:start="3744" w:hanging="1224"/>
      </w:pPr>
      <w:rPr/>
    </w:lvl>
    <w:lvl w:ilvl="8">
      <w:start w:val="1"/>
      <w:numFmt w:val="decimal"/>
      <w:lvlText w:val="%1.%2.%3.%4.%5.%6.%7.%8.%9."/>
      <w:lvlJc w:val="start"/>
      <w:pPr>
        <w:tabs>
          <w:tab w:val="num" w:pos="0"/>
        </w:tabs>
        <w:ind w:start="4320" w:hanging="1440"/>
      </w:pPr>
      <w:rPr/>
    </w:lvl>
  </w:abstractNum>
  <w:abstractNum w:abstractNumId="10">
    <w:lvl w:ilvl="0">
      <w:start w:val="1"/>
      <w:numFmt w:val="bullet"/>
      <w:lvlText w:val=""/>
      <w:lvlJc w:val="start"/>
      <w:pPr>
        <w:tabs>
          <w:tab w:val="num" w:pos="0"/>
        </w:tabs>
        <w:ind w:start="720" w:hanging="360"/>
      </w:pPr>
      <w:rPr>
        <w:rFonts w:ascii="Symbol" w:hAnsi="Symbol" w:cs="Symbol" w:hint="default"/>
      </w:rPr>
    </w:lvl>
    <w:lvl w:ilvl="1">
      <w:start w:val="1"/>
      <w:numFmt w:val="bullet"/>
      <w:lvlText w:val="o"/>
      <w:lvlJc w:val="start"/>
      <w:pPr>
        <w:tabs>
          <w:tab w:val="num" w:pos="0"/>
        </w:tabs>
        <w:ind w:start="1440" w:hanging="360"/>
      </w:pPr>
      <w:rPr>
        <w:rFonts w:ascii="Courier New" w:hAnsi="Courier New" w:cs="Courier New" w:hint="default"/>
      </w:rPr>
    </w:lvl>
    <w:lvl w:ilvl="2">
      <w:start w:val="1"/>
      <w:numFmt w:val="bullet"/>
      <w:lvlText w:val=""/>
      <w:lvlJc w:val="start"/>
      <w:pPr>
        <w:tabs>
          <w:tab w:val="num" w:pos="0"/>
        </w:tabs>
        <w:ind w:start="2160" w:hanging="360"/>
      </w:pPr>
      <w:rPr>
        <w:rFonts w:ascii="Wingdings" w:hAnsi="Wingdings" w:cs="Wingdings" w:hint="default"/>
      </w:rPr>
    </w:lvl>
    <w:lvl w:ilvl="3">
      <w:start w:val="1"/>
      <w:numFmt w:val="bullet"/>
      <w:lvlText w:val=""/>
      <w:lvlJc w:val="start"/>
      <w:pPr>
        <w:tabs>
          <w:tab w:val="num" w:pos="0"/>
        </w:tabs>
        <w:ind w:start="2880" w:hanging="360"/>
      </w:pPr>
      <w:rPr>
        <w:rFonts w:ascii="Symbol" w:hAnsi="Symbol" w:cs="Symbol" w:hint="default"/>
      </w:rPr>
    </w:lvl>
    <w:lvl w:ilvl="4">
      <w:start w:val="1"/>
      <w:numFmt w:val="bullet"/>
      <w:lvlText w:val="o"/>
      <w:lvlJc w:val="start"/>
      <w:pPr>
        <w:tabs>
          <w:tab w:val="num" w:pos="0"/>
        </w:tabs>
        <w:ind w:start="3600" w:hanging="360"/>
      </w:pPr>
      <w:rPr>
        <w:rFonts w:ascii="Courier New" w:hAnsi="Courier New" w:cs="Courier New" w:hint="default"/>
      </w:rPr>
    </w:lvl>
    <w:lvl w:ilvl="5">
      <w:start w:val="1"/>
      <w:numFmt w:val="bullet"/>
      <w:lvlText w:val=""/>
      <w:lvlJc w:val="start"/>
      <w:pPr>
        <w:tabs>
          <w:tab w:val="num" w:pos="0"/>
        </w:tabs>
        <w:ind w:start="4320" w:hanging="360"/>
      </w:pPr>
      <w:rPr>
        <w:rFonts w:ascii="Wingdings" w:hAnsi="Wingdings" w:cs="Wingdings" w:hint="default"/>
      </w:rPr>
    </w:lvl>
    <w:lvl w:ilvl="6">
      <w:start w:val="1"/>
      <w:numFmt w:val="bullet"/>
      <w:lvlText w:val=""/>
      <w:lvlJc w:val="start"/>
      <w:pPr>
        <w:tabs>
          <w:tab w:val="num" w:pos="0"/>
        </w:tabs>
        <w:ind w:start="5040" w:hanging="360"/>
      </w:pPr>
      <w:rPr>
        <w:rFonts w:ascii="Symbol" w:hAnsi="Symbol" w:cs="Symbol" w:hint="default"/>
      </w:rPr>
    </w:lvl>
    <w:lvl w:ilvl="7">
      <w:start w:val="1"/>
      <w:numFmt w:val="bullet"/>
      <w:lvlText w:val="o"/>
      <w:lvlJc w:val="start"/>
      <w:pPr>
        <w:tabs>
          <w:tab w:val="num" w:pos="0"/>
        </w:tabs>
        <w:ind w:start="5760" w:hanging="360"/>
      </w:pPr>
      <w:rPr>
        <w:rFonts w:ascii="Courier New" w:hAnsi="Courier New" w:cs="Courier New" w:hint="default"/>
      </w:rPr>
    </w:lvl>
    <w:lvl w:ilvl="8">
      <w:start w:val="1"/>
      <w:numFmt w:val="bullet"/>
      <w:lvlText w:val=""/>
      <w:lvlJc w:val="start"/>
      <w:pPr>
        <w:tabs>
          <w:tab w:val="num" w:pos="0"/>
        </w:tabs>
        <w:ind w:start="6480" w:hanging="360"/>
      </w:pPr>
      <w:rPr>
        <w:rFonts w:ascii="Wingdings" w:hAnsi="Wingdings" w:cs="Wingdings" w:hint="default"/>
      </w:rPr>
    </w:lvl>
  </w:abstractNum>
  <w:abstractNum w:abstractNumId="11">
    <w:lvl w:ilvl="0">
      <w:start w:val="1"/>
      <w:numFmt w:val="bullet"/>
      <w:lvlText w:val=""/>
      <w:lvlJc w:val="start"/>
      <w:pPr>
        <w:tabs>
          <w:tab w:val="num" w:pos="0"/>
        </w:tabs>
        <w:ind w:start="720" w:hanging="360"/>
      </w:pPr>
      <w:rPr>
        <w:rFonts w:ascii="Symbol" w:hAnsi="Symbol" w:cs="Symbol" w:hint="default"/>
      </w:rPr>
    </w:lvl>
    <w:lvl w:ilvl="1">
      <w:start w:val="1"/>
      <w:numFmt w:val="bullet"/>
      <w:lvlText w:val="o"/>
      <w:lvlJc w:val="start"/>
      <w:pPr>
        <w:tabs>
          <w:tab w:val="num" w:pos="0"/>
        </w:tabs>
        <w:ind w:start="1440" w:hanging="360"/>
      </w:pPr>
      <w:rPr>
        <w:rFonts w:ascii="Courier New" w:hAnsi="Courier New" w:cs="Courier New" w:hint="default"/>
      </w:rPr>
    </w:lvl>
    <w:lvl w:ilvl="2">
      <w:start w:val="1"/>
      <w:numFmt w:val="bullet"/>
      <w:lvlText w:val=""/>
      <w:lvlJc w:val="start"/>
      <w:pPr>
        <w:tabs>
          <w:tab w:val="num" w:pos="0"/>
        </w:tabs>
        <w:ind w:start="2160" w:hanging="360"/>
      </w:pPr>
      <w:rPr>
        <w:rFonts w:ascii="Wingdings" w:hAnsi="Wingdings" w:cs="Wingdings" w:hint="default"/>
      </w:rPr>
    </w:lvl>
    <w:lvl w:ilvl="3">
      <w:start w:val="1"/>
      <w:numFmt w:val="bullet"/>
      <w:lvlText w:val=""/>
      <w:lvlJc w:val="start"/>
      <w:pPr>
        <w:tabs>
          <w:tab w:val="num" w:pos="0"/>
        </w:tabs>
        <w:ind w:start="2880" w:hanging="360"/>
      </w:pPr>
      <w:rPr>
        <w:rFonts w:ascii="Symbol" w:hAnsi="Symbol" w:cs="Symbol" w:hint="default"/>
      </w:rPr>
    </w:lvl>
    <w:lvl w:ilvl="4">
      <w:start w:val="1"/>
      <w:numFmt w:val="bullet"/>
      <w:lvlText w:val="o"/>
      <w:lvlJc w:val="start"/>
      <w:pPr>
        <w:tabs>
          <w:tab w:val="num" w:pos="0"/>
        </w:tabs>
        <w:ind w:start="3600" w:hanging="360"/>
      </w:pPr>
      <w:rPr>
        <w:rFonts w:ascii="Courier New" w:hAnsi="Courier New" w:cs="Courier New" w:hint="default"/>
      </w:rPr>
    </w:lvl>
    <w:lvl w:ilvl="5">
      <w:start w:val="1"/>
      <w:numFmt w:val="bullet"/>
      <w:lvlText w:val=""/>
      <w:lvlJc w:val="start"/>
      <w:pPr>
        <w:tabs>
          <w:tab w:val="num" w:pos="0"/>
        </w:tabs>
        <w:ind w:start="4320" w:hanging="360"/>
      </w:pPr>
      <w:rPr>
        <w:rFonts w:ascii="Wingdings" w:hAnsi="Wingdings" w:cs="Wingdings" w:hint="default"/>
      </w:rPr>
    </w:lvl>
    <w:lvl w:ilvl="6">
      <w:start w:val="1"/>
      <w:numFmt w:val="bullet"/>
      <w:lvlText w:val=""/>
      <w:lvlJc w:val="start"/>
      <w:pPr>
        <w:tabs>
          <w:tab w:val="num" w:pos="0"/>
        </w:tabs>
        <w:ind w:start="5040" w:hanging="360"/>
      </w:pPr>
      <w:rPr>
        <w:rFonts w:ascii="Symbol" w:hAnsi="Symbol" w:cs="Symbol" w:hint="default"/>
      </w:rPr>
    </w:lvl>
    <w:lvl w:ilvl="7">
      <w:start w:val="1"/>
      <w:numFmt w:val="bullet"/>
      <w:lvlText w:val="o"/>
      <w:lvlJc w:val="start"/>
      <w:pPr>
        <w:tabs>
          <w:tab w:val="num" w:pos="0"/>
        </w:tabs>
        <w:ind w:start="5760" w:hanging="360"/>
      </w:pPr>
      <w:rPr>
        <w:rFonts w:ascii="Courier New" w:hAnsi="Courier New" w:cs="Courier New" w:hint="default"/>
      </w:rPr>
    </w:lvl>
    <w:lvl w:ilvl="8">
      <w:start w:val="1"/>
      <w:numFmt w:val="bullet"/>
      <w:lvlText w:val=""/>
      <w:lvlJc w:val="start"/>
      <w:pPr>
        <w:tabs>
          <w:tab w:val="num" w:pos="0"/>
        </w:tabs>
        <w:ind w:start="6480" w:hanging="360"/>
      </w:pPr>
      <w:rPr>
        <w:rFonts w:ascii="Wingdings" w:hAnsi="Wingdings" w:cs="Wingdings" w:hint="default"/>
      </w:rPr>
    </w:lvl>
  </w:abstractNum>
  <w:abstractNum w:abstractNumId="12">
    <w:lvl w:ilvl="0">
      <w:start w:val="1"/>
      <w:numFmt w:val="none"/>
      <w:suff w:val="nothing"/>
      <w:lvlText w:val=""/>
      <w:lvlJc w:val="start"/>
      <w:pPr>
        <w:tabs>
          <w:tab w:val="num" w:pos="0"/>
        </w:tabs>
        <w:ind w:start="0" w:hanging="0"/>
      </w:pPr>
    </w:lvl>
    <w:lvl w:ilvl="1">
      <w:start w:val="1"/>
      <w:numFmt w:val="none"/>
      <w:suff w:val="nothing"/>
      <w:lvlText w:val=""/>
      <w:lvlJc w:val="start"/>
      <w:pPr>
        <w:tabs>
          <w:tab w:val="num" w:pos="0"/>
        </w:tabs>
        <w:ind w:start="0" w:hanging="0"/>
      </w:pPr>
    </w:lvl>
    <w:lvl w:ilvl="2">
      <w:start w:val="1"/>
      <w:numFmt w:val="none"/>
      <w:suff w:val="nothing"/>
      <w:lvlText w:val=""/>
      <w:lvlJc w:val="start"/>
      <w:pPr>
        <w:tabs>
          <w:tab w:val="num" w:pos="0"/>
        </w:tabs>
        <w:ind w:start="0" w:hanging="0"/>
      </w:pPr>
    </w:lvl>
    <w:lvl w:ilvl="3">
      <w:start w:val="1"/>
      <w:numFmt w:val="none"/>
      <w:suff w:val="nothing"/>
      <w:lvlText w:val=""/>
      <w:lvlJc w:val="start"/>
      <w:pPr>
        <w:tabs>
          <w:tab w:val="num" w:pos="0"/>
        </w:tabs>
        <w:ind w:start="0" w:hanging="0"/>
      </w:pPr>
    </w:lvl>
    <w:lvl w:ilvl="4">
      <w:start w:val="1"/>
      <w:numFmt w:val="none"/>
      <w:suff w:val="nothing"/>
      <w:lvlText w:val=""/>
      <w:lvlJc w:val="start"/>
      <w:pPr>
        <w:tabs>
          <w:tab w:val="num" w:pos="0"/>
        </w:tabs>
        <w:ind w:start="0" w:hanging="0"/>
      </w:pPr>
    </w:lvl>
    <w:lvl w:ilvl="5">
      <w:start w:val="1"/>
      <w:numFmt w:val="none"/>
      <w:suff w:val="nothing"/>
      <w:lvlText w:val=""/>
      <w:lvlJc w:val="start"/>
      <w:pPr>
        <w:tabs>
          <w:tab w:val="num" w:pos="0"/>
        </w:tabs>
        <w:ind w:start="0" w:hanging="0"/>
      </w:pPr>
    </w:lvl>
    <w:lvl w:ilvl="6">
      <w:start w:val="1"/>
      <w:numFmt w:val="none"/>
      <w:suff w:val="nothing"/>
      <w:lvlText w:val=""/>
      <w:lvlJc w:val="start"/>
      <w:pPr>
        <w:tabs>
          <w:tab w:val="num" w:pos="0"/>
        </w:tabs>
        <w:ind w:start="0" w:hanging="0"/>
      </w:pPr>
    </w:lvl>
    <w:lvl w:ilvl="7">
      <w:start w:val="1"/>
      <w:numFmt w:val="none"/>
      <w:suff w:val="nothing"/>
      <w:lvlText w:val=""/>
      <w:lvlJc w:val="start"/>
      <w:pPr>
        <w:tabs>
          <w:tab w:val="num" w:pos="0"/>
        </w:tabs>
        <w:ind w:start="0" w:hanging="0"/>
      </w:pPr>
    </w:lvl>
    <w:lvl w:ilvl="8">
      <w:start w:val="1"/>
      <w:numFmt w:val="none"/>
      <w:suff w:val="nothing"/>
      <w:lvlText w:val=""/>
      <w:lvlJc w:val="start"/>
      <w:pPr>
        <w:tabs>
          <w:tab w:val="num" w:pos="0"/>
        </w:tabs>
        <w:ind w:star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w="http://schemas.openxmlformats.org/wordprocessingml/2006/main">
  <w:zoom w:percent="100"/>
  <w:defaultTabStop w:val="708"/>
  <w:autoHyphenation w:val="true"/>
  <w:hyphenationZone w:val="425"/>
  <w:footnotePr>
    <w:numFmt w:val="decimal"/>
    <w:footnote w:id="0"/>
    <w:footnote w:id="1"/>
  </w:footnotePr>
  <w:compat>
    <w:doNotBreakWrappedTables/>
    <w:compatSetting w:name="compatibilityMode" w:uri="http://schemas.microsoft.com/office/word" w:val="12"/>
    <w:compatSetting w:name="useWord2013TrackBottomHyphenation" w:uri="http://schemas.microsoft.com/office/word" w:val="1"/>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ptos" w:hAnsi="Aptos" w:eastAsia="Aptos" w:cs="" w:asciiTheme="minorHAnsi" w:cstheme="minorBidi" w:eastAsiaTheme="minorHAnsi" w:hAnsiTheme="minorHAnsi"/>
        <w:kern w:val="2"/>
        <w:sz w:val="22"/>
        <w:szCs w:val="22"/>
        <w:lang w:val="pl-PL" w:eastAsia="en-US" w:bidi="ar-SA"/>
        <w14:ligatures w14:val="standardContextual"/>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4821bb"/>
    <w:pPr>
      <w:widowControl/>
      <w:suppressAutoHyphens w:val="true"/>
      <w:bidi w:val="0"/>
      <w:spacing w:lineRule="auto" w:line="360" w:before="0" w:after="160"/>
      <w:jc w:val="both"/>
    </w:pPr>
    <w:rPr>
      <w:rFonts w:ascii="Aptos" w:hAnsi="Aptos" w:eastAsia="Aptos" w:cs="" w:asciiTheme="minorHAnsi" w:cstheme="minorBidi" w:eastAsiaTheme="minorHAnsi" w:hAnsiTheme="minorHAnsi"/>
      <w:color w:val="auto"/>
      <w:kern w:val="2"/>
      <w:sz w:val="22"/>
      <w:szCs w:val="22"/>
      <w:lang w:val="pl-PL" w:eastAsia="en-US" w:bidi="ar-SA"/>
      <w14:ligatures w14:val="standardContextual"/>
    </w:rPr>
  </w:style>
  <w:style w:type="paragraph" w:styleId="Heading1">
    <w:name w:val="heading 1"/>
    <w:basedOn w:val="Normal"/>
    <w:next w:val="Normal"/>
    <w:link w:val="Nagwek1Znak"/>
    <w:uiPriority w:val="9"/>
    <w:qFormat/>
    <w:rsid w:val="00d77905"/>
    <w:pPr>
      <w:keepNext w:val="true"/>
      <w:keepLines/>
      <w:spacing w:before="360" w:after="80"/>
      <w:outlineLvl w:val="0"/>
    </w:pPr>
    <w:rPr>
      <w:rFonts w:ascii="Aptos Display" w:hAnsi="Aptos Display" w:eastAsia="" w:cs="" w:asciiTheme="majorHAnsi" w:cstheme="majorBidi" w:eastAsiaTheme="majorEastAsia" w:hAnsiTheme="majorHAnsi"/>
      <w:color w:themeColor="accent1" w:themeShade="bf" w:val="2F5496"/>
      <w:sz w:val="28"/>
      <w:szCs w:val="40"/>
    </w:rPr>
  </w:style>
  <w:style w:type="paragraph" w:styleId="Heading2">
    <w:name w:val="heading 2"/>
    <w:basedOn w:val="Normal"/>
    <w:next w:val="Normal"/>
    <w:link w:val="Nagwek2Znak"/>
    <w:uiPriority w:val="9"/>
    <w:unhideWhenUsed/>
    <w:qFormat/>
    <w:rsid w:val="00393342"/>
    <w:pPr>
      <w:keepNext w:val="true"/>
      <w:keepLines/>
      <w:spacing w:before="160" w:after="80"/>
      <w:outlineLvl w:val="1"/>
    </w:pPr>
    <w:rPr>
      <w:rFonts w:ascii="Aptos Display" w:hAnsi="Aptos Display" w:eastAsia="" w:cs="" w:asciiTheme="majorHAnsi" w:cstheme="majorBidi" w:eastAsiaTheme="majorEastAsia" w:hAnsiTheme="majorHAnsi"/>
      <w:color w:themeColor="accent1" w:themeShade="bf" w:val="2F5496"/>
      <w:sz w:val="24"/>
      <w:szCs w:val="32"/>
    </w:rPr>
  </w:style>
  <w:style w:type="paragraph" w:styleId="Heading3">
    <w:name w:val="heading 3"/>
    <w:basedOn w:val="Normal"/>
    <w:next w:val="Normal"/>
    <w:link w:val="Nagwek3Znak"/>
    <w:uiPriority w:val="9"/>
    <w:unhideWhenUsed/>
    <w:qFormat/>
    <w:rsid w:val="00021672"/>
    <w:pPr>
      <w:keepNext w:val="true"/>
      <w:keepLines/>
      <w:spacing w:before="160" w:after="80"/>
      <w:outlineLvl w:val="2"/>
    </w:pPr>
    <w:rPr>
      <w:rFonts w:eastAsia="" w:cs="" w:cstheme="majorBidi" w:eastAsiaTheme="majorEastAsia"/>
      <w:color w:themeColor="accent1" w:themeShade="bf" w:val="2F5496"/>
      <w:szCs w:val="28"/>
    </w:rPr>
  </w:style>
  <w:style w:type="paragraph" w:styleId="Heading4">
    <w:name w:val="heading 4"/>
    <w:basedOn w:val="Normal"/>
    <w:next w:val="Normal"/>
    <w:link w:val="Nagwek4Znak"/>
    <w:uiPriority w:val="9"/>
    <w:semiHidden/>
    <w:unhideWhenUsed/>
    <w:qFormat/>
    <w:rsid w:val="009c25b2"/>
    <w:pPr>
      <w:keepNext w:val="true"/>
      <w:keepLines/>
      <w:spacing w:before="80" w:after="40"/>
      <w:outlineLvl w:val="3"/>
    </w:pPr>
    <w:rPr>
      <w:rFonts w:eastAsia="" w:cs="" w:cstheme="majorBidi" w:eastAsiaTheme="majorEastAsia"/>
      <w:i/>
      <w:iCs/>
      <w:color w:themeColor="accent1" w:themeShade="bf" w:val="2F5496"/>
    </w:rPr>
  </w:style>
  <w:style w:type="paragraph" w:styleId="Heading5">
    <w:name w:val="heading 5"/>
    <w:basedOn w:val="Normal"/>
    <w:next w:val="Normal"/>
    <w:link w:val="Nagwek5Znak"/>
    <w:uiPriority w:val="9"/>
    <w:semiHidden/>
    <w:unhideWhenUsed/>
    <w:qFormat/>
    <w:rsid w:val="009c25b2"/>
    <w:pPr>
      <w:keepNext w:val="true"/>
      <w:keepLines/>
      <w:spacing w:before="80" w:after="40"/>
      <w:outlineLvl w:val="4"/>
    </w:pPr>
    <w:rPr>
      <w:rFonts w:eastAsia="" w:cs="" w:cstheme="majorBidi" w:eastAsiaTheme="majorEastAsia"/>
      <w:color w:themeColor="accent1" w:themeShade="bf" w:val="2F5496"/>
    </w:rPr>
  </w:style>
  <w:style w:type="paragraph" w:styleId="Heading6">
    <w:name w:val="heading 6"/>
    <w:basedOn w:val="Normal"/>
    <w:next w:val="Normal"/>
    <w:link w:val="Nagwek6Znak"/>
    <w:uiPriority w:val="9"/>
    <w:semiHidden/>
    <w:unhideWhenUsed/>
    <w:qFormat/>
    <w:rsid w:val="009c25b2"/>
    <w:pPr>
      <w:keepNext w:val="true"/>
      <w:keepLines/>
      <w:spacing w:before="40" w:after="0"/>
      <w:outlineLvl w:val="5"/>
    </w:pPr>
    <w:rPr>
      <w:rFonts w:eastAsia="" w:cs="" w:cstheme="majorBidi" w:eastAsiaTheme="majorEastAsia"/>
      <w:i/>
      <w:iCs/>
      <w:color w:themeColor="text1" w:themeTint="a6" w:val="595959"/>
    </w:rPr>
  </w:style>
  <w:style w:type="paragraph" w:styleId="Heading7">
    <w:name w:val="heading 7"/>
    <w:basedOn w:val="Normal"/>
    <w:next w:val="Normal"/>
    <w:link w:val="Nagwek7Znak"/>
    <w:uiPriority w:val="9"/>
    <w:semiHidden/>
    <w:unhideWhenUsed/>
    <w:qFormat/>
    <w:rsid w:val="009c25b2"/>
    <w:pPr>
      <w:keepNext w:val="true"/>
      <w:keepLines/>
      <w:spacing w:before="40" w:after="0"/>
      <w:outlineLvl w:val="6"/>
    </w:pPr>
    <w:rPr>
      <w:rFonts w:eastAsia="" w:cs="" w:cstheme="majorBidi" w:eastAsiaTheme="majorEastAsia"/>
      <w:color w:themeColor="text1" w:themeTint="a6" w:val="595959"/>
    </w:rPr>
  </w:style>
  <w:style w:type="paragraph" w:styleId="Heading8">
    <w:name w:val="heading 8"/>
    <w:basedOn w:val="Normal"/>
    <w:next w:val="Normal"/>
    <w:link w:val="Nagwek8Znak"/>
    <w:uiPriority w:val="9"/>
    <w:semiHidden/>
    <w:unhideWhenUsed/>
    <w:qFormat/>
    <w:rsid w:val="009c25b2"/>
    <w:pPr>
      <w:keepNext w:val="true"/>
      <w:keepLines/>
      <w:spacing w:before="0" w:after="0"/>
      <w:outlineLvl w:val="7"/>
    </w:pPr>
    <w:rPr>
      <w:rFonts w:eastAsia="" w:cs="" w:cstheme="majorBidi" w:eastAsiaTheme="majorEastAsia"/>
      <w:i/>
      <w:iCs/>
      <w:color w:themeColor="text1" w:themeTint="d8" w:val="272727"/>
    </w:rPr>
  </w:style>
  <w:style w:type="paragraph" w:styleId="Heading9">
    <w:name w:val="heading 9"/>
    <w:basedOn w:val="Normal"/>
    <w:next w:val="Normal"/>
    <w:link w:val="Nagwek9Znak"/>
    <w:uiPriority w:val="9"/>
    <w:semiHidden/>
    <w:unhideWhenUsed/>
    <w:qFormat/>
    <w:rsid w:val="009c25b2"/>
    <w:pPr>
      <w:keepNext w:val="true"/>
      <w:keepLines/>
      <w:spacing w:before="0" w:after="0"/>
      <w:outlineLvl w:val="8"/>
    </w:pPr>
    <w:rPr>
      <w:rFonts w:eastAsia="" w:cs="" w:cstheme="majorBidi" w:eastAsiaTheme="majorEastAsia"/>
      <w:color w:themeColor="text1" w:themeTint="d8" w:val="272727"/>
    </w:rPr>
  </w:style>
  <w:style w:type="character" w:styleId="DefaultParagraphFont" w:default="1">
    <w:name w:val="Default Paragraph Font"/>
    <w:uiPriority w:val="1"/>
    <w:semiHidden/>
    <w:unhideWhenUsed/>
    <w:qFormat/>
    <w:rPr/>
  </w:style>
  <w:style w:type="character" w:styleId="Nagwek1Znak" w:customStyle="1">
    <w:name w:val="Nagłówek 1 Znak"/>
    <w:basedOn w:val="DefaultParagraphFont"/>
    <w:uiPriority w:val="9"/>
    <w:qFormat/>
    <w:rsid w:val="00d77905"/>
    <w:rPr>
      <w:rFonts w:ascii="Aptos Display" w:hAnsi="Aptos Display" w:eastAsia="" w:cs="" w:asciiTheme="majorHAnsi" w:cstheme="majorBidi" w:eastAsiaTheme="majorEastAsia" w:hAnsiTheme="majorHAnsi"/>
      <w:color w:themeColor="accent1" w:themeShade="bf" w:val="2F5496"/>
      <w:sz w:val="28"/>
      <w:szCs w:val="40"/>
    </w:rPr>
  </w:style>
  <w:style w:type="character" w:styleId="Nagwek2Znak" w:customStyle="1">
    <w:name w:val="Nagłówek 2 Znak"/>
    <w:basedOn w:val="DefaultParagraphFont"/>
    <w:uiPriority w:val="9"/>
    <w:qFormat/>
    <w:rsid w:val="00393342"/>
    <w:rPr>
      <w:rFonts w:ascii="Aptos Display" w:hAnsi="Aptos Display" w:eastAsia="" w:cs="" w:asciiTheme="majorHAnsi" w:cstheme="majorBidi" w:eastAsiaTheme="majorEastAsia" w:hAnsiTheme="majorHAnsi"/>
      <w:color w:themeColor="accent1" w:themeShade="bf" w:val="2F5496"/>
      <w:sz w:val="24"/>
      <w:szCs w:val="32"/>
    </w:rPr>
  </w:style>
  <w:style w:type="character" w:styleId="Nagwek3Znak" w:customStyle="1">
    <w:name w:val="Nagłówek 3 Znak"/>
    <w:basedOn w:val="DefaultParagraphFont"/>
    <w:uiPriority w:val="9"/>
    <w:qFormat/>
    <w:rsid w:val="00021672"/>
    <w:rPr>
      <w:rFonts w:eastAsia="" w:cs="" w:cstheme="majorBidi" w:eastAsiaTheme="majorEastAsia"/>
      <w:color w:themeColor="accent1" w:themeShade="bf" w:val="2F5496"/>
      <w:szCs w:val="28"/>
    </w:rPr>
  </w:style>
  <w:style w:type="character" w:styleId="Nagwek4Znak" w:customStyle="1">
    <w:name w:val="Nagłówek 4 Znak"/>
    <w:basedOn w:val="DefaultParagraphFont"/>
    <w:uiPriority w:val="9"/>
    <w:semiHidden/>
    <w:qFormat/>
    <w:rsid w:val="009c25b2"/>
    <w:rPr>
      <w:rFonts w:eastAsia="" w:cs="" w:cstheme="majorBidi" w:eastAsiaTheme="majorEastAsia"/>
      <w:i/>
      <w:iCs/>
      <w:color w:themeColor="accent1" w:themeShade="bf" w:val="2F5496"/>
    </w:rPr>
  </w:style>
  <w:style w:type="character" w:styleId="Nagwek5Znak" w:customStyle="1">
    <w:name w:val="Nagłówek 5 Znak"/>
    <w:basedOn w:val="DefaultParagraphFont"/>
    <w:uiPriority w:val="9"/>
    <w:semiHidden/>
    <w:qFormat/>
    <w:rsid w:val="009c25b2"/>
    <w:rPr>
      <w:rFonts w:eastAsia="" w:cs="" w:cstheme="majorBidi" w:eastAsiaTheme="majorEastAsia"/>
      <w:color w:themeColor="accent1" w:themeShade="bf" w:val="2F5496"/>
    </w:rPr>
  </w:style>
  <w:style w:type="character" w:styleId="Nagwek6Znak" w:customStyle="1">
    <w:name w:val="Nagłówek 6 Znak"/>
    <w:basedOn w:val="DefaultParagraphFont"/>
    <w:uiPriority w:val="9"/>
    <w:semiHidden/>
    <w:qFormat/>
    <w:rsid w:val="009c25b2"/>
    <w:rPr>
      <w:rFonts w:eastAsia="" w:cs="" w:cstheme="majorBidi" w:eastAsiaTheme="majorEastAsia"/>
      <w:i/>
      <w:iCs/>
      <w:color w:themeColor="text1" w:themeTint="a6" w:val="595959"/>
    </w:rPr>
  </w:style>
  <w:style w:type="character" w:styleId="Nagwek7Znak" w:customStyle="1">
    <w:name w:val="Nagłówek 7 Znak"/>
    <w:basedOn w:val="DefaultParagraphFont"/>
    <w:uiPriority w:val="9"/>
    <w:semiHidden/>
    <w:qFormat/>
    <w:rsid w:val="009c25b2"/>
    <w:rPr>
      <w:rFonts w:eastAsia="" w:cs="" w:cstheme="majorBidi" w:eastAsiaTheme="majorEastAsia"/>
      <w:color w:themeColor="text1" w:themeTint="a6" w:val="595959"/>
    </w:rPr>
  </w:style>
  <w:style w:type="character" w:styleId="Nagwek8Znak" w:customStyle="1">
    <w:name w:val="Nagłówek 8 Znak"/>
    <w:basedOn w:val="DefaultParagraphFont"/>
    <w:uiPriority w:val="9"/>
    <w:semiHidden/>
    <w:qFormat/>
    <w:rsid w:val="009c25b2"/>
    <w:rPr>
      <w:rFonts w:eastAsia="" w:cs="" w:cstheme="majorBidi" w:eastAsiaTheme="majorEastAsia"/>
      <w:i/>
      <w:iCs/>
      <w:color w:themeColor="text1" w:themeTint="d8" w:val="272727"/>
    </w:rPr>
  </w:style>
  <w:style w:type="character" w:styleId="Nagwek9Znak" w:customStyle="1">
    <w:name w:val="Nagłówek 9 Znak"/>
    <w:basedOn w:val="DefaultParagraphFont"/>
    <w:uiPriority w:val="9"/>
    <w:semiHidden/>
    <w:qFormat/>
    <w:rsid w:val="009c25b2"/>
    <w:rPr>
      <w:rFonts w:eastAsia="" w:cs="" w:cstheme="majorBidi" w:eastAsiaTheme="majorEastAsia"/>
      <w:color w:themeColor="text1" w:themeTint="d8" w:val="272727"/>
    </w:rPr>
  </w:style>
  <w:style w:type="character" w:styleId="TytuZnak" w:customStyle="1">
    <w:name w:val="Tytuł Znak"/>
    <w:basedOn w:val="DefaultParagraphFont"/>
    <w:uiPriority w:val="10"/>
    <w:qFormat/>
    <w:rsid w:val="009c25b2"/>
    <w:rPr>
      <w:rFonts w:ascii="Aptos Display" w:hAnsi="Aptos Display" w:eastAsia="" w:cs="" w:asciiTheme="majorHAnsi" w:cstheme="majorBidi" w:eastAsiaTheme="majorEastAsia" w:hAnsiTheme="majorHAnsi"/>
      <w:spacing w:val="-10"/>
      <w:kern w:val="2"/>
      <w:sz w:val="56"/>
      <w:szCs w:val="56"/>
    </w:rPr>
  </w:style>
  <w:style w:type="character" w:styleId="PodtytuZnak" w:customStyle="1">
    <w:name w:val="Podtytuł Znak"/>
    <w:basedOn w:val="DefaultParagraphFont"/>
    <w:uiPriority w:val="11"/>
    <w:qFormat/>
    <w:rsid w:val="009c25b2"/>
    <w:rPr>
      <w:rFonts w:eastAsia="" w:cs="" w:cstheme="majorBidi" w:eastAsiaTheme="majorEastAsia"/>
      <w:color w:themeColor="text1" w:themeTint="a6" w:val="595959"/>
      <w:spacing w:val="15"/>
      <w:sz w:val="28"/>
      <w:szCs w:val="28"/>
    </w:rPr>
  </w:style>
  <w:style w:type="character" w:styleId="CytatZnak" w:customStyle="1">
    <w:name w:val="Cytat Znak"/>
    <w:basedOn w:val="DefaultParagraphFont"/>
    <w:link w:val="Quote"/>
    <w:uiPriority w:val="29"/>
    <w:qFormat/>
    <w:rsid w:val="009c25b2"/>
    <w:rPr>
      <w:i/>
      <w:iCs/>
      <w:color w:themeColor="text1" w:themeTint="bf" w:val="404040"/>
    </w:rPr>
  </w:style>
  <w:style w:type="character" w:styleId="IntenseEmphasis">
    <w:name w:val="Intense Emphasis"/>
    <w:basedOn w:val="DefaultParagraphFont"/>
    <w:uiPriority w:val="21"/>
    <w:qFormat/>
    <w:rsid w:val="009c25b2"/>
    <w:rPr>
      <w:i/>
      <w:iCs/>
      <w:color w:themeColor="accent1" w:themeShade="bf" w:val="2F5496"/>
    </w:rPr>
  </w:style>
  <w:style w:type="character" w:styleId="CytatintensywnyZnak" w:customStyle="1">
    <w:name w:val="Cytat intensywny Znak"/>
    <w:basedOn w:val="DefaultParagraphFont"/>
    <w:link w:val="IntenseQuote"/>
    <w:uiPriority w:val="30"/>
    <w:qFormat/>
    <w:rsid w:val="009c25b2"/>
    <w:rPr>
      <w:i/>
      <w:iCs/>
      <w:color w:themeColor="accent1" w:themeShade="bf" w:val="2F5496"/>
    </w:rPr>
  </w:style>
  <w:style w:type="character" w:styleId="IntenseReference">
    <w:name w:val="Intense Reference"/>
    <w:basedOn w:val="DefaultParagraphFont"/>
    <w:uiPriority w:val="32"/>
    <w:qFormat/>
    <w:rsid w:val="009c25b2"/>
    <w:rPr>
      <w:b/>
      <w:bCs/>
      <w:smallCaps/>
      <w:color w:themeColor="accent1" w:themeShade="bf" w:val="2F5496"/>
      <w:spacing w:val="5"/>
    </w:rPr>
  </w:style>
  <w:style w:type="character" w:styleId="InternetLink" w:customStyle="1">
    <w:name w:val="Internet Link"/>
    <w:basedOn w:val="DefaultParagraphFont"/>
    <w:uiPriority w:val="99"/>
    <w:unhideWhenUsed/>
    <w:qFormat/>
    <w:rsid w:val="00c34790"/>
    <w:rPr>
      <w:color w:themeColor="hyperlink" w:val="0563C1"/>
      <w:u w:val="single"/>
    </w:rPr>
  </w:style>
  <w:style w:type="character" w:styleId="TekstprzypisudolnegoZnak" w:customStyle="1">
    <w:name w:val="Tekst przypisu dolnego Znak"/>
    <w:basedOn w:val="DefaultParagraphFont"/>
    <w:uiPriority w:val="99"/>
    <w:semiHidden/>
    <w:qFormat/>
    <w:rsid w:val="006e20bd"/>
    <w:rPr>
      <w:sz w:val="20"/>
      <w:szCs w:val="20"/>
    </w:rPr>
  </w:style>
  <w:style w:type="character" w:styleId="Znakiprzypiswdolnych" w:customStyle="1">
    <w:name w:val="Znaki przypisów dolnych"/>
    <w:qFormat/>
    <w:rPr>
      <w:vertAlign w:val="superscript"/>
    </w:rPr>
  </w:style>
  <w:style w:type="character" w:styleId="FootnoteReference">
    <w:name w:val="footnote reference"/>
    <w:rPr>
      <w:vertAlign w:val="superscript"/>
    </w:rPr>
  </w:style>
  <w:style w:type="character" w:styleId="FootnoteCharacters">
    <w:name w:val="Footnote Characters"/>
    <w:qFormat/>
    <w:rPr>
      <w:vertAlign w:val="superscript"/>
    </w:rPr>
  </w:style>
  <w:style w:type="character" w:styleId="FootnoteCharacters1" w:customStyle="1">
    <w:name w:val="Footnote Characters1"/>
    <w:qFormat/>
    <w:rPr>
      <w:vertAlign w:val="superscript"/>
    </w:rPr>
  </w:style>
  <w:style w:type="character" w:styleId="FootnoteCharacters11" w:customStyle="1">
    <w:name w:val="Footnote Characters11"/>
    <w:qFormat/>
    <w:rPr>
      <w:vertAlign w:val="superscript"/>
    </w:rPr>
  </w:style>
  <w:style w:type="character" w:styleId="FootnoteCharacters111" w:customStyle="1">
    <w:name w:val="Footnote Characters111"/>
    <w:qFormat/>
    <w:rPr>
      <w:vertAlign w:val="superscript"/>
    </w:rPr>
  </w:style>
  <w:style w:type="character" w:styleId="FootnoteCharacters1111" w:customStyle="1">
    <w:name w:val="Footnote Characters1111"/>
    <w:qFormat/>
    <w:rPr>
      <w:vertAlign w:val="superscript"/>
    </w:rPr>
  </w:style>
  <w:style w:type="character" w:styleId="FootnoteCharacters11111" w:customStyle="1">
    <w:name w:val="Footnote Characters11111"/>
    <w:qFormat/>
    <w:rPr>
      <w:vertAlign w:val="superscript"/>
    </w:rPr>
  </w:style>
  <w:style w:type="character" w:styleId="FootnoteCharacters111111" w:customStyle="1">
    <w:name w:val="Footnote Characters111111"/>
    <w:qFormat/>
    <w:rPr>
      <w:vertAlign w:val="superscript"/>
    </w:rPr>
  </w:style>
  <w:style w:type="character" w:styleId="CommentReference">
    <w:name w:val="annotation reference"/>
    <w:basedOn w:val="DefaultParagraphFont"/>
    <w:uiPriority w:val="99"/>
    <w:semiHidden/>
    <w:unhideWhenUsed/>
    <w:qFormat/>
    <w:rsid w:val="006e20bd"/>
    <w:rPr>
      <w:sz w:val="16"/>
      <w:szCs w:val="16"/>
    </w:rPr>
  </w:style>
  <w:style w:type="character" w:styleId="TekstkomentarzaZnak" w:customStyle="1">
    <w:name w:val="Tekst komentarza Znak"/>
    <w:basedOn w:val="DefaultParagraphFont"/>
    <w:link w:val="CommentText"/>
    <w:uiPriority w:val="99"/>
    <w:qFormat/>
    <w:rsid w:val="006e20bd"/>
    <w:rPr>
      <w:sz w:val="20"/>
      <w:szCs w:val="20"/>
    </w:rPr>
  </w:style>
  <w:style w:type="character" w:styleId="AkapitzlistZnak" w:customStyle="1">
    <w:name w:val="Akapit z listą Znak"/>
    <w:link w:val="ListParagraph"/>
    <w:uiPriority w:val="34"/>
    <w:qFormat/>
    <w:locked/>
    <w:rsid w:val="004c4d17"/>
    <w:rPr/>
  </w:style>
  <w:style w:type="character" w:styleId="TematkomentarzaZnak" w:customStyle="1">
    <w:name w:val="Temat komentarza Znak"/>
    <w:basedOn w:val="TekstkomentarzaZnak"/>
    <w:link w:val="annotationsubject"/>
    <w:uiPriority w:val="99"/>
    <w:semiHidden/>
    <w:qFormat/>
    <w:rsid w:val="0077674f"/>
    <w:rPr>
      <w:b/>
      <w:bCs/>
      <w:sz w:val="20"/>
      <w:szCs w:val="20"/>
    </w:rPr>
  </w:style>
  <w:style w:type="character" w:styleId="NagwekZnak" w:customStyle="1">
    <w:name w:val="Nagłówek Znak"/>
    <w:basedOn w:val="DefaultParagraphFont"/>
    <w:uiPriority w:val="99"/>
    <w:qFormat/>
    <w:rsid w:val="00781fd9"/>
    <w:rPr/>
  </w:style>
  <w:style w:type="character" w:styleId="StopkaZnak" w:customStyle="1">
    <w:name w:val="Stopka Znak"/>
    <w:basedOn w:val="DefaultParagraphFont"/>
    <w:uiPriority w:val="99"/>
    <w:qFormat/>
    <w:rsid w:val="00781fd9"/>
    <w:rPr/>
  </w:style>
  <w:style w:type="character" w:styleId="FollowedHyperlink">
    <w:name w:val="FollowedHyperlink"/>
    <w:rPr>
      <w:color w:val="800000"/>
      <w:u w:val="single"/>
    </w:rPr>
  </w:style>
  <w:style w:type="character" w:styleId="czeindeksu" w:customStyle="1">
    <w:name w:val="Łącze indeksu"/>
    <w:qFormat/>
    <w:rPr/>
  </w:style>
  <w:style w:type="character" w:styleId="Znakiprzypiswkocowych" w:customStyle="1">
    <w:name w:val="Znaki przypisów końcowych"/>
    <w:qFormat/>
    <w:rPr>
      <w:vertAlign w:val="superscript"/>
    </w:rPr>
  </w:style>
  <w:style w:type="character" w:styleId="EndnoteReference">
    <w:name w:val="endnote reference"/>
    <w:rPr>
      <w:vertAlign w:val="superscript"/>
    </w:rPr>
  </w:style>
  <w:style w:type="character" w:styleId="EndnoteCharacters">
    <w:name w:val="Endnote Characters"/>
    <w:qFormat/>
    <w:rPr>
      <w:vertAlign w:val="superscript"/>
    </w:rPr>
  </w:style>
  <w:style w:type="character" w:styleId="EndnoteCharacters1" w:customStyle="1">
    <w:name w:val="Endnote Characters1"/>
    <w:qFormat/>
    <w:rPr>
      <w:vertAlign w:val="superscript"/>
    </w:rPr>
  </w:style>
  <w:style w:type="character" w:styleId="EndnoteCharacters11" w:customStyle="1">
    <w:name w:val="Endnote Characters11"/>
    <w:qFormat/>
    <w:rPr>
      <w:vertAlign w:val="superscript"/>
    </w:rPr>
  </w:style>
  <w:style w:type="character" w:styleId="EndnoteCharacters111" w:customStyle="1">
    <w:name w:val="Endnote Characters111"/>
    <w:qFormat/>
    <w:rPr>
      <w:vertAlign w:val="superscript"/>
    </w:rPr>
  </w:style>
  <w:style w:type="character" w:styleId="EndnoteCharacters1111" w:customStyle="1">
    <w:name w:val="Endnote Characters1111"/>
    <w:qFormat/>
    <w:rPr>
      <w:vertAlign w:val="superscript"/>
    </w:rPr>
  </w:style>
  <w:style w:type="character" w:styleId="EndnoteCharacters11111" w:customStyle="1">
    <w:name w:val="Endnote Characters11111"/>
    <w:qFormat/>
    <w:rPr>
      <w:vertAlign w:val="superscript"/>
    </w:rPr>
  </w:style>
  <w:style w:type="character" w:styleId="EndnoteCharacters111111" w:customStyle="1">
    <w:name w:val="Endnote Characters111111"/>
    <w:qFormat/>
    <w:rPr>
      <w:vertAlign w:val="superscript"/>
    </w:rPr>
  </w:style>
  <w:style w:type="character" w:styleId="TekstdymkaZnak" w:customStyle="1">
    <w:name w:val="Tekst dymka Znak"/>
    <w:basedOn w:val="DefaultParagraphFont"/>
    <w:link w:val="BalloonText"/>
    <w:uiPriority w:val="99"/>
    <w:semiHidden/>
    <w:qFormat/>
    <w:rsid w:val="006c58d3"/>
    <w:rPr>
      <w:rFonts w:ascii="Segoe UI" w:hAnsi="Segoe UI" w:cs="Segoe UI"/>
      <w:sz w:val="18"/>
      <w:szCs w:val="18"/>
    </w:rPr>
  </w:style>
  <w:style w:type="character" w:styleId="TekstprzypisukocowegoZnak" w:customStyle="1">
    <w:name w:val="Tekst przypisu końcowego Znak"/>
    <w:basedOn w:val="DefaultParagraphFont"/>
    <w:uiPriority w:val="99"/>
    <w:semiHidden/>
    <w:qFormat/>
    <w:rsid w:val="007e15f0"/>
    <w:rPr>
      <w:sz w:val="20"/>
      <w:szCs w:val="20"/>
    </w:rPr>
  </w:style>
  <w:style w:type="character" w:styleId="caption1Znak" w:customStyle="1">
    <w:name w:val="caption1 Znak"/>
    <w:basedOn w:val="DefaultParagraphFont"/>
    <w:link w:val="caption1"/>
    <w:uiPriority w:val="35"/>
    <w:qFormat/>
    <w:rsid w:val="00fc2910"/>
    <w:rPr>
      <w:i/>
      <w:iCs/>
      <w:color w:themeColor="text2" w:val="44546A"/>
      <w:sz w:val="18"/>
      <w:szCs w:val="18"/>
    </w:rPr>
  </w:style>
  <w:style w:type="character" w:styleId="Caption2Znak" w:customStyle="1">
    <w:name w:val="Caption2 Znak"/>
    <w:basedOn w:val="caption1Znak"/>
    <w:link w:val="Caption2"/>
    <w:qFormat/>
    <w:rsid w:val="00fc2910"/>
    <w:rPr>
      <w:i/>
      <w:iCs/>
      <w:color w:themeColor="text2" w:val="44546A"/>
      <w:sz w:val="18"/>
      <w:szCs w:val="18"/>
    </w:rPr>
  </w:style>
  <w:style w:type="character" w:styleId="Caption3Znak" w:customStyle="1">
    <w:name w:val="Caption3 Znak"/>
    <w:basedOn w:val="caption1Znak"/>
    <w:link w:val="Caption3"/>
    <w:qFormat/>
    <w:rsid w:val="00fc2910"/>
    <w:rPr>
      <w:i/>
      <w:iCs/>
      <w:color w:themeColor="text2" w:val="44546A"/>
      <w:sz w:val="18"/>
      <w:szCs w:val="18"/>
    </w:rPr>
  </w:style>
  <w:style w:type="character" w:styleId="Caption4Znak" w:customStyle="1">
    <w:name w:val="Caption4 Znak"/>
    <w:basedOn w:val="caption1Znak"/>
    <w:link w:val="Caption4"/>
    <w:qFormat/>
    <w:rsid w:val="00fc2910"/>
    <w:rPr>
      <w:i/>
      <w:iCs/>
      <w:color w:themeColor="text2" w:val="44546A"/>
      <w:sz w:val="18"/>
      <w:szCs w:val="18"/>
    </w:rPr>
  </w:style>
  <w:style w:type="character" w:styleId="resultpara6" w:customStyle="1">
    <w:name w:val="result__para__6"/>
    <w:basedOn w:val="DefaultParagraphFont"/>
    <w:qFormat/>
    <w:rsid w:val="00bb3ca2"/>
    <w:rPr/>
  </w:style>
  <w:style w:type="character" w:styleId="resultpara8" w:customStyle="1">
    <w:name w:val="result__para__8"/>
    <w:basedOn w:val="DefaultParagraphFont"/>
    <w:qFormat/>
    <w:rsid w:val="00bb3ca2"/>
    <w:rPr/>
  </w:style>
  <w:style w:type="character" w:styleId="resultpara4" w:customStyle="1">
    <w:name w:val="result__para__4"/>
    <w:basedOn w:val="DefaultParagraphFont"/>
    <w:qFormat/>
    <w:rsid w:val="00bb3ca2"/>
    <w:rPr/>
  </w:style>
  <w:style w:type="character" w:styleId="resultpara2" w:customStyle="1">
    <w:name w:val="result__para__2"/>
    <w:basedOn w:val="DefaultParagraphFont"/>
    <w:qFormat/>
    <w:rsid w:val="00bb3ca2"/>
    <w:rPr/>
  </w:style>
  <w:style w:type="character" w:styleId="resultpara10" w:customStyle="1">
    <w:name w:val="result__para__10"/>
    <w:basedOn w:val="DefaultParagraphFont"/>
    <w:qFormat/>
    <w:rsid w:val="00bb3ca2"/>
    <w:rPr/>
  </w:style>
  <w:style w:type="character" w:styleId="resultpara12" w:customStyle="1">
    <w:name w:val="result__para__12"/>
    <w:basedOn w:val="DefaultParagraphFont"/>
    <w:qFormat/>
    <w:rsid w:val="00bb3ca2"/>
    <w:rPr/>
  </w:style>
  <w:style w:type="character" w:styleId="nagwek3Znak1" w:customStyle="1">
    <w:name w:val="nagłówek 3 Znak1"/>
    <w:basedOn w:val="DefaultParagraphFont"/>
    <w:link w:val="nagwek3"/>
    <w:qFormat/>
    <w:rsid w:val="00ef4977"/>
    <w:rPr>
      <w:i/>
      <w:iCs/>
      <w:color w:themeColor="accent6" w:themeShade="bf" w:val="538135"/>
    </w:rPr>
  </w:style>
  <w:style w:type="character" w:styleId="Nierozpoznanawzmianka1" w:customStyle="1">
    <w:name w:val="Nierozpoznana wzmianka1"/>
    <w:basedOn w:val="DefaultParagraphFont"/>
    <w:uiPriority w:val="99"/>
    <w:semiHidden/>
    <w:unhideWhenUsed/>
    <w:qFormat/>
    <w:rsid w:val="002a02c9"/>
    <w:rPr>
      <w:color w:val="605E5C"/>
      <w:shd w:fill="E1DFDD" w:val="clear"/>
    </w:rPr>
  </w:style>
  <w:style w:type="character" w:styleId="InternetLink1" w:customStyle="1">
    <w:name w:val="Internet Link1"/>
    <w:qFormat/>
    <w:rPr>
      <w:color w:val="000080"/>
      <w:u w:val="single"/>
    </w:rPr>
  </w:style>
  <w:style w:type="character" w:styleId="LineNumbering" w:customStyle="1">
    <w:name w:val="Line Numbering"/>
    <w:qFormat/>
    <w:rPr/>
  </w:style>
  <w:style w:type="character" w:styleId="InternetLink2" w:customStyle="1">
    <w:name w:val="Internet Link2"/>
    <w:qFormat/>
    <w:rPr>
      <w:color w:val="000080"/>
      <w:u w:val="single"/>
    </w:rPr>
  </w:style>
  <w:style w:type="character" w:styleId="LineNumbering1" w:customStyle="1">
    <w:name w:val="Line Numbering1"/>
    <w:qFormat/>
    <w:rPr/>
  </w:style>
  <w:style w:type="character" w:styleId="InternetLink3" w:customStyle="1">
    <w:name w:val="Internet Link3"/>
    <w:qFormat/>
    <w:rPr>
      <w:color w:val="000080"/>
      <w:u w:val="single"/>
    </w:rPr>
  </w:style>
  <w:style w:type="character" w:styleId="LineNumbering2" w:customStyle="1">
    <w:name w:val="Line Numbering2"/>
    <w:qFormat/>
    <w:rPr/>
  </w:style>
  <w:style w:type="character" w:styleId="InternetLink4" w:customStyle="1">
    <w:name w:val="Internet Link4"/>
    <w:qFormat/>
    <w:rPr>
      <w:color w:val="000080"/>
      <w:u w:val="single"/>
    </w:rPr>
  </w:style>
  <w:style w:type="character" w:styleId="LineNumbering3" w:customStyle="1">
    <w:name w:val="Line Numbering3"/>
    <w:qFormat/>
    <w:rPr/>
  </w:style>
  <w:style w:type="character" w:styleId="InternetLink5" w:customStyle="1">
    <w:name w:val="Internet Link5"/>
    <w:uiPriority w:val="99"/>
    <w:qFormat/>
    <w:rPr>
      <w:color w:val="000080"/>
      <w:u w:val="single"/>
    </w:rPr>
  </w:style>
  <w:style w:type="character" w:styleId="LineNumbering4" w:customStyle="1">
    <w:name w:val="Line Numbering4"/>
    <w:qFormat/>
    <w:rPr/>
  </w:style>
  <w:style w:type="character" w:styleId="FotografieZnak" w:customStyle="1">
    <w:name w:val="Fotografie Znak"/>
    <w:basedOn w:val="DefaultParagraphFont"/>
    <w:link w:val="Fotografie"/>
    <w:qFormat/>
    <w:rsid w:val="00407694"/>
    <w:rPr>
      <w:color w:themeColor="accent1" w:val="4472C4"/>
      <w:sz w:val="18"/>
      <w:szCs w:val="18"/>
    </w:rPr>
  </w:style>
  <w:style w:type="character" w:styleId="TabeleZnak" w:customStyle="1">
    <w:name w:val="Tabele Znak"/>
    <w:basedOn w:val="caption1Znak"/>
    <w:link w:val="Tabele"/>
    <w:qFormat/>
    <w:rsid w:val="005d3aa0"/>
    <w:rPr>
      <w:i/>
      <w:iCs/>
      <w:color w:themeColor="text2" w:val="44546A"/>
      <w:sz w:val="18"/>
      <w:szCs w:val="18"/>
    </w:rPr>
  </w:style>
  <w:style w:type="character" w:styleId="RycinyZnak" w:customStyle="1">
    <w:name w:val="Ryciny Znak"/>
    <w:basedOn w:val="Caption2Znak"/>
    <w:link w:val="Ryciny"/>
    <w:qFormat/>
    <w:rsid w:val="00b7381a"/>
    <w:rPr>
      <w:i/>
      <w:iCs/>
      <w:color w:themeColor="text2" w:val="44546A"/>
      <w:sz w:val="18"/>
      <w:szCs w:val="18"/>
    </w:rPr>
  </w:style>
  <w:style w:type="character" w:styleId="WykresyZnak" w:customStyle="1">
    <w:name w:val="Wykresy Znak"/>
    <w:basedOn w:val="DefaultParagraphFont"/>
    <w:link w:val="Wykresy"/>
    <w:qFormat/>
    <w:rsid w:val="00b25f02"/>
    <w:rPr>
      <w:color w:themeColor="accent1" w:val="4472C4"/>
    </w:rPr>
  </w:style>
  <w:style w:type="character" w:styleId="Wykresy2Znak" w:customStyle="1">
    <w:name w:val="Wykresy2 Znak"/>
    <w:basedOn w:val="WykresyZnak"/>
    <w:link w:val="Wykresy2"/>
    <w:qFormat/>
    <w:rsid w:val="00b25f02"/>
    <w:rPr>
      <w:color w:themeColor="accent1" w:val="4472C4"/>
      <w:sz w:val="18"/>
      <w:szCs w:val="18"/>
    </w:rPr>
  </w:style>
  <w:style w:type="character" w:styleId="InternetLink6">
    <w:name w:val="Internet Link6"/>
    <w:uiPriority w:val="99"/>
    <w:qFormat/>
    <w:rPr>
      <w:color w:val="000080"/>
      <w:u w:val="single"/>
    </w:rPr>
  </w:style>
  <w:style w:type="character" w:styleId="LineNumbering5">
    <w:name w:val="Line Numbering5"/>
    <w:qFormat/>
    <w:rPr/>
  </w:style>
  <w:style w:type="character" w:styleId="Strong">
    <w:name w:val="Strong"/>
    <w:qFormat/>
    <w:rPr>
      <w:b/>
      <w:bCs/>
    </w:rPr>
  </w:style>
  <w:style w:type="character" w:styleId="Hyperlink">
    <w:name w:val="Hyperlink"/>
    <w:rPr>
      <w:color w:val="000080"/>
      <w:u w:val="single"/>
    </w:rPr>
  </w:style>
  <w:style w:type="paragraph" w:styleId="Nagwek">
    <w:name w:val="Nagłówek"/>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Arial"/>
    </w:rPr>
  </w:style>
  <w:style w:type="paragraph" w:styleId="Caption">
    <w:name w:val="caption"/>
    <w:basedOn w:val="Normal"/>
    <w:uiPriority w:val="35"/>
    <w:qFormat/>
    <w:pPr>
      <w:suppressLineNumbers/>
      <w:spacing w:before="120" w:after="120"/>
    </w:pPr>
    <w:rPr>
      <w:rFonts w:cs="Arial"/>
      <w:i/>
      <w:iCs/>
      <w:sz w:val="24"/>
      <w:szCs w:val="24"/>
    </w:rPr>
  </w:style>
  <w:style w:type="paragraph" w:styleId="Indeks" w:customStyle="1">
    <w:name w:val="Indeks"/>
    <w:basedOn w:val="Normal"/>
    <w:qFormat/>
    <w:pPr>
      <w:suppressLineNumbers/>
    </w:pPr>
    <w:rPr>
      <w:rFonts w:cs="Arial"/>
    </w:rPr>
  </w:style>
  <w:style w:type="paragraph" w:styleId="Nagwek1" w:customStyle="1">
    <w:name w:val="Nagłówek1"/>
    <w:basedOn w:val="Normal"/>
    <w:next w:val="BodyText"/>
    <w:qFormat/>
    <w:pPr>
      <w:keepNext w:val="true"/>
      <w:spacing w:before="240" w:after="120"/>
    </w:pPr>
    <w:rPr>
      <w:rFonts w:ascii="Liberation Sans" w:hAnsi="Liberation Sans" w:eastAsia="Microsoft YaHei" w:cs="Lucida Sans"/>
      <w:sz w:val="28"/>
      <w:szCs w:val="28"/>
    </w:rPr>
  </w:style>
  <w:style w:type="paragraph" w:styleId="Gwkaistopka" w:customStyle="1">
    <w:name w:val="Główka i stopka"/>
    <w:basedOn w:val="Normal"/>
    <w:qFormat/>
    <w:pPr/>
    <w:rPr/>
  </w:style>
  <w:style w:type="paragraph" w:styleId="Header">
    <w:name w:val="header"/>
    <w:basedOn w:val="Normal"/>
    <w:next w:val="BodyText"/>
    <w:link w:val="NagwekZnak"/>
    <w:uiPriority w:val="99"/>
    <w:unhideWhenUsed/>
    <w:rsid w:val="00781fd9"/>
    <w:pPr>
      <w:tabs>
        <w:tab w:val="clear" w:pos="708"/>
        <w:tab w:val="center" w:pos="4536" w:leader="none"/>
        <w:tab w:val="right" w:pos="9072" w:leader="none"/>
      </w:tabs>
      <w:spacing w:lineRule="auto" w:line="240" w:before="0" w:after="0"/>
    </w:pPr>
    <w:rPr/>
  </w:style>
  <w:style w:type="paragraph" w:styleId="Title">
    <w:name w:val="Title"/>
    <w:basedOn w:val="Normal"/>
    <w:next w:val="Normal"/>
    <w:link w:val="TytuZnak"/>
    <w:uiPriority w:val="10"/>
    <w:qFormat/>
    <w:rsid w:val="009c25b2"/>
    <w:pPr>
      <w:spacing w:lineRule="auto" w:line="240" w:before="0" w:after="80"/>
      <w:contextualSpacing/>
    </w:pPr>
    <w:rPr>
      <w:rFonts w:ascii="Aptos Display" w:hAnsi="Aptos Display" w:eastAsia="" w:cs="" w:asciiTheme="majorHAnsi" w:cstheme="majorBidi" w:eastAsiaTheme="majorEastAsia" w:hAnsiTheme="majorHAnsi"/>
      <w:spacing w:val="-10"/>
      <w:sz w:val="56"/>
      <w:szCs w:val="56"/>
    </w:rPr>
  </w:style>
  <w:style w:type="paragraph" w:styleId="Subtitle">
    <w:name w:val="Subtitle"/>
    <w:basedOn w:val="Normal"/>
    <w:next w:val="Normal"/>
    <w:link w:val="PodtytuZnak"/>
    <w:uiPriority w:val="11"/>
    <w:qFormat/>
    <w:rsid w:val="009c25b2"/>
    <w:pPr/>
    <w:rPr>
      <w:rFonts w:eastAsia="" w:cs="" w:cstheme="majorBidi" w:eastAsiaTheme="majorEastAsia"/>
      <w:color w:themeColor="text1" w:themeTint="a6" w:val="595959"/>
      <w:spacing w:val="15"/>
      <w:sz w:val="28"/>
      <w:szCs w:val="28"/>
    </w:rPr>
  </w:style>
  <w:style w:type="paragraph" w:styleId="Quote">
    <w:name w:val="Quote"/>
    <w:basedOn w:val="Normal"/>
    <w:next w:val="Normal"/>
    <w:link w:val="CytatZnak"/>
    <w:uiPriority w:val="29"/>
    <w:qFormat/>
    <w:rsid w:val="009c25b2"/>
    <w:pPr>
      <w:spacing w:before="160" w:after="160"/>
      <w:jc w:val="center"/>
    </w:pPr>
    <w:rPr>
      <w:i/>
      <w:iCs/>
      <w:color w:themeColor="text1" w:themeTint="bf" w:val="404040"/>
    </w:rPr>
  </w:style>
  <w:style w:type="paragraph" w:styleId="ListParagraph">
    <w:name w:val="List Paragraph"/>
    <w:basedOn w:val="Normal"/>
    <w:link w:val="AkapitzlistZnak"/>
    <w:uiPriority w:val="34"/>
    <w:qFormat/>
    <w:rsid w:val="009c25b2"/>
    <w:pPr>
      <w:spacing w:before="0" w:after="160"/>
      <w:ind w:start="720"/>
      <w:contextualSpacing/>
    </w:pPr>
    <w:rPr/>
  </w:style>
  <w:style w:type="paragraph" w:styleId="IntenseQuote">
    <w:name w:val="Intense Quote"/>
    <w:basedOn w:val="Normal"/>
    <w:next w:val="Normal"/>
    <w:link w:val="CytatintensywnyZnak"/>
    <w:uiPriority w:val="30"/>
    <w:qFormat/>
    <w:rsid w:val="009c25b2"/>
    <w:pPr>
      <w:pBdr>
        <w:top w:val="single" w:sz="4" w:space="10" w:color="2F5496"/>
        <w:bottom w:val="single" w:sz="4" w:space="10" w:color="2F5496"/>
      </w:pBdr>
      <w:spacing w:before="360" w:after="360"/>
      <w:ind w:start="864" w:end="864"/>
      <w:jc w:val="center"/>
    </w:pPr>
    <w:rPr>
      <w:i/>
      <w:iCs/>
      <w:color w:themeColor="accent1" w:themeShade="bf" w:val="2F5496"/>
    </w:rPr>
  </w:style>
  <w:style w:type="paragraph" w:styleId="IndexHeading">
    <w:name w:val="index heading"/>
    <w:basedOn w:val="Nagwek1"/>
    <w:qFormat/>
    <w:pPr/>
    <w:rPr/>
  </w:style>
  <w:style w:type="paragraph" w:styleId="TOCHeading">
    <w:name w:val="TOC Heading"/>
    <w:basedOn w:val="Heading1"/>
    <w:next w:val="Normal"/>
    <w:uiPriority w:val="39"/>
    <w:unhideWhenUsed/>
    <w:qFormat/>
    <w:rsid w:val="007d2bd6"/>
    <w:pPr>
      <w:spacing w:before="240" w:after="0"/>
      <w:outlineLvl w:val="9"/>
    </w:pPr>
    <w:rPr>
      <w:kern w:val="0"/>
      <w:sz w:val="32"/>
      <w:szCs w:val="32"/>
      <w:lang w:eastAsia="pl-PL"/>
    </w:rPr>
  </w:style>
  <w:style w:type="paragraph" w:styleId="TOC1">
    <w:name w:val="toc 1"/>
    <w:basedOn w:val="Normal"/>
    <w:next w:val="Normal"/>
    <w:autoRedefine/>
    <w:uiPriority w:val="39"/>
    <w:unhideWhenUsed/>
    <w:rsid w:val="007d2bd6"/>
    <w:pPr>
      <w:spacing w:before="0" w:after="100"/>
    </w:pPr>
    <w:rPr/>
  </w:style>
  <w:style w:type="paragraph" w:styleId="TOC2">
    <w:name w:val="toc 2"/>
    <w:basedOn w:val="Normal"/>
    <w:next w:val="Normal"/>
    <w:autoRedefine/>
    <w:uiPriority w:val="39"/>
    <w:unhideWhenUsed/>
    <w:rsid w:val="004f13ac"/>
    <w:pPr>
      <w:tabs>
        <w:tab w:val="clear" w:pos="708"/>
        <w:tab w:val="right" w:pos="9062" w:leader="dot"/>
      </w:tabs>
      <w:spacing w:lineRule="auto" w:line="240" w:before="0" w:after="100"/>
      <w:ind w:start="221"/>
    </w:pPr>
    <w:rPr/>
  </w:style>
  <w:style w:type="paragraph" w:styleId="TOC3">
    <w:name w:val="toc 3"/>
    <w:basedOn w:val="Normal"/>
    <w:next w:val="Normal"/>
    <w:autoRedefine/>
    <w:uiPriority w:val="39"/>
    <w:unhideWhenUsed/>
    <w:rsid w:val="007d2bd6"/>
    <w:pPr>
      <w:spacing w:before="0" w:after="100"/>
      <w:ind w:start="440"/>
    </w:pPr>
    <w:rPr/>
  </w:style>
  <w:style w:type="paragraph" w:styleId="Revision">
    <w:name w:val="Revision"/>
    <w:uiPriority w:val="99"/>
    <w:semiHidden/>
    <w:qFormat/>
    <w:rsid w:val="003169c2"/>
    <w:pPr>
      <w:widowControl/>
      <w:suppressAutoHyphens w:val="true"/>
      <w:bidi w:val="0"/>
      <w:spacing w:before="0" w:after="0"/>
      <w:jc w:val="start"/>
    </w:pPr>
    <w:rPr>
      <w:rFonts w:ascii="Aptos" w:hAnsi="Aptos" w:eastAsia="Aptos" w:cs="" w:asciiTheme="minorHAnsi" w:cstheme="minorBidi" w:eastAsiaTheme="minorHAnsi" w:hAnsiTheme="minorHAnsi"/>
      <w:color w:val="auto"/>
      <w:kern w:val="2"/>
      <w:sz w:val="22"/>
      <w:szCs w:val="22"/>
      <w:lang w:val="pl-PL" w:eastAsia="en-US" w:bidi="ar-SA"/>
      <w14:ligatures w14:val="standardContextual"/>
    </w:rPr>
  </w:style>
  <w:style w:type="paragraph" w:styleId="FootnoteText">
    <w:name w:val="footnote text"/>
    <w:basedOn w:val="Normal"/>
    <w:link w:val="TekstprzypisudolnegoZnak"/>
    <w:uiPriority w:val="99"/>
    <w:semiHidden/>
    <w:unhideWhenUsed/>
    <w:rsid w:val="006e20bd"/>
    <w:pPr>
      <w:spacing w:lineRule="auto" w:line="240" w:before="0" w:after="0"/>
    </w:pPr>
    <w:rPr>
      <w:sz w:val="20"/>
      <w:szCs w:val="20"/>
    </w:rPr>
  </w:style>
  <w:style w:type="paragraph" w:styleId="CommentText">
    <w:name w:val="annotation text"/>
    <w:basedOn w:val="Normal"/>
    <w:link w:val="TekstkomentarzaZnak"/>
    <w:uiPriority w:val="99"/>
    <w:unhideWhenUsed/>
    <w:qFormat/>
    <w:rsid w:val="006e20bd"/>
    <w:pPr>
      <w:spacing w:lineRule="auto" w:line="240"/>
      <w:jc w:val="start"/>
    </w:pPr>
    <w:rPr>
      <w:sz w:val="20"/>
      <w:szCs w:val="20"/>
    </w:rPr>
  </w:style>
  <w:style w:type="paragraph" w:styleId="caption1" w:customStyle="1">
    <w:name w:val="caption1"/>
    <w:basedOn w:val="Normal"/>
    <w:next w:val="Normal"/>
    <w:link w:val="caption1Znak"/>
    <w:uiPriority w:val="35"/>
    <w:unhideWhenUsed/>
    <w:qFormat/>
    <w:rsid w:val="004c4d17"/>
    <w:pPr>
      <w:spacing w:lineRule="auto" w:line="240" w:before="0" w:after="200"/>
      <w:jc w:val="start"/>
    </w:pPr>
    <w:rPr>
      <w:i/>
      <w:iCs/>
      <w:color w:themeColor="text2" w:val="44546A"/>
      <w:sz w:val="18"/>
      <w:szCs w:val="18"/>
    </w:rPr>
  </w:style>
  <w:style w:type="paragraph" w:styleId="NoSpacing">
    <w:name w:val="No Spacing"/>
    <w:uiPriority w:val="1"/>
    <w:qFormat/>
    <w:rsid w:val="004c4d17"/>
    <w:pPr>
      <w:widowControl/>
      <w:suppressAutoHyphens w:val="true"/>
      <w:bidi w:val="0"/>
      <w:spacing w:before="120" w:after="120"/>
      <w:jc w:val="both"/>
    </w:pPr>
    <w:rPr>
      <w:rFonts w:ascii="Aptos" w:hAnsi="Aptos" w:eastAsia="Aptos" w:cs="" w:asciiTheme="minorHAnsi" w:cstheme="minorBidi" w:eastAsiaTheme="minorHAnsi" w:hAnsiTheme="minorHAnsi"/>
      <w:color w:val="auto"/>
      <w:kern w:val="2"/>
      <w:sz w:val="22"/>
      <w:szCs w:val="22"/>
      <w:lang w:val="pl-PL" w:eastAsia="en-US" w:bidi="ar-SA"/>
      <w14:ligatures w14:val="standardContextual"/>
    </w:rPr>
  </w:style>
  <w:style w:type="paragraph" w:styleId="annotationsubject">
    <w:name w:val="annotation subject"/>
    <w:basedOn w:val="CommentText"/>
    <w:next w:val="CommentText"/>
    <w:link w:val="TematkomentarzaZnak"/>
    <w:uiPriority w:val="99"/>
    <w:semiHidden/>
    <w:unhideWhenUsed/>
    <w:qFormat/>
    <w:rsid w:val="0077674f"/>
    <w:pPr>
      <w:jc w:val="both"/>
    </w:pPr>
    <w:rPr>
      <w:b/>
      <w:bCs/>
    </w:rPr>
  </w:style>
  <w:style w:type="paragraph" w:styleId="NormalWeb">
    <w:name w:val="Normal (Web)"/>
    <w:basedOn w:val="Normal"/>
    <w:uiPriority w:val="99"/>
    <w:semiHidden/>
    <w:unhideWhenUsed/>
    <w:qFormat/>
    <w:rsid w:val="001554ad"/>
    <w:pPr>
      <w:spacing w:lineRule="auto" w:line="240" w:beforeAutospacing="1" w:afterAutospacing="1"/>
      <w:jc w:val="start"/>
    </w:pPr>
    <w:rPr>
      <w:rFonts w:ascii="Times New Roman" w:hAnsi="Times New Roman" w:eastAsia="Times New Roman" w:cs="Times New Roman"/>
      <w:kern w:val="0"/>
      <w:sz w:val="24"/>
      <w:szCs w:val="24"/>
      <w:lang w:eastAsia="pl-PL"/>
      <w14:ligatures w14:val="none"/>
    </w:rPr>
  </w:style>
  <w:style w:type="paragraph" w:styleId="Default" w:customStyle="1">
    <w:name w:val="Default"/>
    <w:qFormat/>
    <w:rsid w:val="00c856c1"/>
    <w:pPr>
      <w:widowControl/>
      <w:suppressAutoHyphens w:val="true"/>
      <w:bidi w:val="0"/>
      <w:spacing w:before="0" w:after="0"/>
      <w:jc w:val="start"/>
    </w:pPr>
    <w:rPr>
      <w:rFonts w:ascii="Century Gothic" w:hAnsi="Century Gothic" w:eastAsia="Aptos" w:cs="Century Gothic"/>
      <w:color w:val="000000"/>
      <w:kern w:val="0"/>
      <w:sz w:val="24"/>
      <w:szCs w:val="24"/>
      <w:lang w:val="pl-PL" w:eastAsia="en-US" w:bidi="ar-SA"/>
    </w:rPr>
  </w:style>
  <w:style w:type="paragraph" w:styleId="Footer">
    <w:name w:val="footer"/>
    <w:basedOn w:val="Normal"/>
    <w:link w:val="StopkaZnak"/>
    <w:uiPriority w:val="99"/>
    <w:unhideWhenUsed/>
    <w:rsid w:val="00781fd9"/>
    <w:pPr>
      <w:tabs>
        <w:tab w:val="clear" w:pos="708"/>
        <w:tab w:val="center" w:pos="4536" w:leader="none"/>
        <w:tab w:val="right" w:pos="9072" w:leader="none"/>
      </w:tabs>
      <w:spacing w:lineRule="auto" w:line="240" w:before="0" w:after="0"/>
    </w:pPr>
    <w:rPr/>
  </w:style>
  <w:style w:type="paragraph" w:styleId="Zawartoramki" w:customStyle="1">
    <w:name w:val="Zawartość ramki"/>
    <w:basedOn w:val="Normal"/>
    <w:qFormat/>
    <w:pPr/>
    <w:rPr/>
  </w:style>
  <w:style w:type="paragraph" w:styleId="Zawartotabeli" w:customStyle="1">
    <w:name w:val="Zawartość tabeli"/>
    <w:basedOn w:val="Normal"/>
    <w:qFormat/>
    <w:pPr>
      <w:widowControl w:val="false"/>
      <w:suppressLineNumbers/>
    </w:pPr>
    <w:rPr/>
  </w:style>
  <w:style w:type="paragraph" w:styleId="Nagwektabeli" w:customStyle="1">
    <w:name w:val="Nagłówek tabeli"/>
    <w:basedOn w:val="Zawartotabeli"/>
    <w:qFormat/>
    <w:pPr>
      <w:jc w:val="center"/>
    </w:pPr>
    <w:rPr>
      <w:b/>
      <w:bCs/>
    </w:rPr>
  </w:style>
  <w:style w:type="paragraph" w:styleId="BalloonText">
    <w:name w:val="Balloon Text"/>
    <w:basedOn w:val="Normal"/>
    <w:link w:val="TekstdymkaZnak"/>
    <w:uiPriority w:val="99"/>
    <w:semiHidden/>
    <w:unhideWhenUsed/>
    <w:qFormat/>
    <w:rsid w:val="006c58d3"/>
    <w:pPr>
      <w:spacing w:lineRule="auto" w:line="240" w:before="0" w:after="0"/>
    </w:pPr>
    <w:rPr>
      <w:rFonts w:ascii="Segoe UI" w:hAnsi="Segoe UI" w:cs="Segoe UI"/>
      <w:sz w:val="18"/>
      <w:szCs w:val="18"/>
    </w:rPr>
  </w:style>
  <w:style w:type="paragraph" w:styleId="EndnoteText">
    <w:name w:val="endnote text"/>
    <w:basedOn w:val="Normal"/>
    <w:link w:val="TekstprzypisukocowegoZnak"/>
    <w:uiPriority w:val="99"/>
    <w:semiHidden/>
    <w:unhideWhenUsed/>
    <w:rsid w:val="007e15f0"/>
    <w:pPr>
      <w:spacing w:lineRule="auto" w:line="240" w:before="0" w:after="0"/>
    </w:pPr>
    <w:rPr>
      <w:sz w:val="20"/>
      <w:szCs w:val="20"/>
    </w:rPr>
  </w:style>
  <w:style w:type="paragraph" w:styleId="TableofFigures">
    <w:name w:val="table of figures"/>
    <w:basedOn w:val="Normal"/>
    <w:next w:val="Normal"/>
    <w:uiPriority w:val="99"/>
    <w:unhideWhenUsed/>
    <w:qFormat/>
    <w:rsid w:val="00214a71"/>
    <w:pPr>
      <w:spacing w:before="0" w:after="0"/>
    </w:pPr>
    <w:rPr/>
  </w:style>
  <w:style w:type="paragraph" w:styleId="Caption2" w:customStyle="1">
    <w:name w:val="Caption2"/>
    <w:basedOn w:val="caption1"/>
    <w:link w:val="Caption2Znak"/>
    <w:qFormat/>
    <w:rsid w:val="00fc2910"/>
    <w:pPr/>
    <w:rPr/>
  </w:style>
  <w:style w:type="paragraph" w:styleId="Caption3" w:customStyle="1">
    <w:name w:val="Caption3"/>
    <w:basedOn w:val="caption1"/>
    <w:link w:val="Caption3Znak"/>
    <w:qFormat/>
    <w:rsid w:val="00fc2910"/>
    <w:pPr>
      <w:jc w:val="center"/>
    </w:pPr>
    <w:rPr/>
  </w:style>
  <w:style w:type="paragraph" w:styleId="Caption4" w:customStyle="1">
    <w:name w:val="Caption4"/>
    <w:basedOn w:val="caption1"/>
    <w:link w:val="Caption4Znak"/>
    <w:qFormat/>
    <w:rsid w:val="00fc2910"/>
    <w:pPr/>
    <w:rPr/>
  </w:style>
  <w:style w:type="paragraph" w:styleId="nagwek3" w:customStyle="1">
    <w:name w:val="nagłówek 3"/>
    <w:basedOn w:val="ListParagraph"/>
    <w:link w:val="nagwek3Znak1"/>
    <w:qFormat/>
    <w:rsid w:val="00ef4977"/>
    <w:pPr>
      <w:numPr>
        <w:ilvl w:val="2"/>
        <w:numId w:val="9"/>
      </w:numPr>
      <w:suppressAutoHyphens w:val="false"/>
      <w:spacing w:lineRule="auto" w:line="259" w:before="0" w:after="240"/>
      <w:contextualSpacing/>
    </w:pPr>
    <w:rPr>
      <w:i/>
      <w:iCs/>
      <w:color w:themeColor="accent6" w:themeShade="bf" w:val="538135"/>
    </w:rPr>
  </w:style>
  <w:style w:type="paragraph" w:styleId="nagwek2" w:customStyle="1">
    <w:name w:val="nagłówek 2"/>
    <w:basedOn w:val="ListParagraph"/>
    <w:autoRedefine/>
    <w:qFormat/>
    <w:rsid w:val="00ef4977"/>
    <w:pPr>
      <w:numPr>
        <w:ilvl w:val="1"/>
        <w:numId w:val="9"/>
      </w:numPr>
      <w:tabs>
        <w:tab w:val="clear" w:pos="708"/>
        <w:tab w:val="left" w:pos="360" w:leader="none"/>
      </w:tabs>
      <w:suppressAutoHyphens w:val="false"/>
      <w:spacing w:lineRule="auto" w:line="259" w:before="0" w:after="240"/>
      <w:ind w:hanging="0" w:start="720"/>
      <w:contextualSpacing/>
    </w:pPr>
    <w:rPr>
      <w:b/>
      <w:bCs/>
      <w:i/>
      <w:iCs/>
      <w:color w:themeColor="accent2" w:themeShade="80" w:val="833C0B"/>
    </w:rPr>
  </w:style>
  <w:style w:type="paragraph" w:styleId="Komentarz" w:customStyle="1">
    <w:name w:val="Komentarz"/>
    <w:basedOn w:val="Normal"/>
    <w:qFormat/>
    <w:pPr>
      <w:spacing w:lineRule="auto" w:line="240" w:before="56" w:after="0"/>
      <w:ind w:start="57" w:end="57"/>
    </w:pPr>
    <w:rPr>
      <w:sz w:val="20"/>
      <w:szCs w:val="20"/>
    </w:rPr>
  </w:style>
  <w:style w:type="paragraph" w:styleId="Fotografie" w:customStyle="1">
    <w:name w:val="Fotografie"/>
    <w:basedOn w:val="Normal"/>
    <w:link w:val="FotografieZnak"/>
    <w:qFormat/>
    <w:rsid w:val="00407694"/>
    <w:pPr>
      <w:suppressAutoHyphens w:val="false"/>
      <w:ind w:start="360"/>
      <w:jc w:val="center"/>
    </w:pPr>
    <w:rPr>
      <w:color w:themeColor="accent1" w:val="4472C4"/>
      <w:sz w:val="18"/>
      <w:szCs w:val="18"/>
    </w:rPr>
  </w:style>
  <w:style w:type="paragraph" w:styleId="Tabele" w:customStyle="1">
    <w:name w:val="Tabele"/>
    <w:basedOn w:val="caption1"/>
    <w:link w:val="TabeleZnak"/>
    <w:qFormat/>
    <w:rsid w:val="005d3aa0"/>
    <w:pPr/>
    <w:rPr/>
  </w:style>
  <w:style w:type="paragraph" w:styleId="Ryciny" w:customStyle="1">
    <w:name w:val="Ryciny"/>
    <w:basedOn w:val="Caption2"/>
    <w:link w:val="RycinyZnak"/>
    <w:qFormat/>
    <w:rsid w:val="00b7381a"/>
    <w:pPr/>
    <w:rPr/>
  </w:style>
  <w:style w:type="paragraph" w:styleId="Wykresy" w:customStyle="1">
    <w:name w:val="Wykresy"/>
    <w:basedOn w:val="Normal"/>
    <w:link w:val="WykresyZnak"/>
    <w:qFormat/>
    <w:rsid w:val="00b25f02"/>
    <w:pPr/>
    <w:rPr>
      <w:color w:themeColor="accent1" w:val="4472C4"/>
    </w:rPr>
  </w:style>
  <w:style w:type="paragraph" w:styleId="Wykresy2" w:customStyle="1">
    <w:name w:val="Wykresy2"/>
    <w:basedOn w:val="Wykresy"/>
    <w:link w:val="Wykresy2Znak"/>
    <w:qFormat/>
    <w:rsid w:val="00b25f02"/>
    <w:pPr>
      <w:jc w:val="center"/>
    </w:pPr>
    <w:rPr>
      <w:sz w:val="18"/>
      <w:szCs w:val="18"/>
    </w:rPr>
  </w:style>
  <w:style w:type="numbering" w:styleId="Bezlisty" w:default="1">
    <w:name w:val="Bez listy"/>
    <w:uiPriority w:val="99"/>
    <w:semiHidden/>
    <w:unhideWhenUsed/>
    <w:qFormat/>
  </w:style>
  <w:style w:type="table" w:default="1" w:styleId="Standardowy">
    <w:name w:val="Normal Table"/>
    <w:uiPriority w:val="99"/>
    <w:semiHidden/>
    <w:unhideWhenUsed/>
    <w:tblPr>
      <w:tblCellMar>
        <w:top w:w="0" w:type="dxa"/>
        <w:left w:w="108" w:type="dxa"/>
        <w:bottom w:w="0" w:type="dxa"/>
        <w:right w:w="108" w:type="dxa"/>
      </w:tblCellMar>
    </w:tblPr>
  </w:style>
  <w:style w:type="table" w:customStyle="1" w:styleId="Tabelasiatki4akcent11">
    <w:name w:val="Tabela siatki 4 — akcent 11"/>
    <w:basedOn w:val="Standardowy"/>
    <w:uiPriority w:val="49"/>
    <w:rsid w:val="004c4d17"/>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color w:themeColor="background1"/>
      </w:rPr>
      <w:tbl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4472C4" w:themeFill="accent1"/>
      </w:tcPr>
    </w:tblStylePr>
    <w:tblStylePr w:type="lastRow">
      <w:rPr>
        <w:b/>
        <w:bCs/>
      </w:rPr>
      <w:tblPr/>
      <w:tcPr>
        <w:tcBorders>
          <w:top w:val="double" w:color="4472C4" w:themeColor="accent1" w:sz="4" w:space="0"/>
        </w:tcBorders>
      </w:tcPr>
    </w:tblStylePr>
    <w:tblStylePr w:type="firstCol">
      <w:rPr>
        <w:b/>
        <w:bCs/>
      </w:rPr>
      <w:tblPr/>
    </w:tblStylePr>
    <w:tblStylePr w:type="lastCol">
      <w:rPr>
        <w:b/>
        <w:bCs/>
      </w:rPr>
      <w:tbl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siatki4akcent41">
    <w:name w:val="Tabela siatki 4 — akcent 41"/>
    <w:basedOn w:val="Standardowy"/>
    <w:uiPriority w:val="49"/>
    <w:rsid w:val="00576c86"/>
    <w:tblPr>
      <w:tblStyleRowBandSize w:val="1"/>
      <w:tblStyleColBandSize w:val="1"/>
      <w:tblBorders>
        <w:top w:val="single" w:color="FFD966" w:themeColor="accent4" w:themeTint="99" w:sz="4" w:space="0"/>
        <w:left w:val="single" w:color="FFD966" w:themeColor="accent4" w:themeTint="99" w:sz="4" w:space="0"/>
        <w:bottom w:val="single" w:color="FFD966" w:themeColor="accent4" w:themeTint="99" w:sz="4" w:space="0"/>
        <w:right w:val="single" w:color="FFD966" w:themeColor="accent4" w:themeTint="99" w:sz="4" w:space="0"/>
        <w:insideH w:val="single" w:color="FFD966" w:themeColor="accent4" w:themeTint="99" w:sz="4" w:space="0"/>
        <w:insideV w:val="single" w:color="FFD966" w:themeColor="accent4" w:themeTint="99" w:sz="4" w:space="0"/>
      </w:tblBorders>
    </w:tblPr>
    <w:tblStylePr w:type="firstRow">
      <w:rPr>
        <w:b/>
        <w:bCs/>
        <w:color w:themeColor="background1"/>
      </w:rPr>
      <w:tblPr/>
      <w:tcPr>
        <w:tcBorders>
          <w:top w:val="single" w:color="FFC000" w:themeColor="accent4" w:sz="4" w:space="0"/>
          <w:left w:val="single" w:color="FFC000" w:themeColor="accent4" w:sz="4" w:space="0"/>
          <w:bottom w:val="single" w:color="FFC000" w:themeColor="accent4" w:sz="4" w:space="0"/>
          <w:right w:val="single" w:color="FFC000" w:themeColor="accent4" w:sz="4" w:space="0"/>
          <w:insideH w:val="nil"/>
          <w:insideV w:val="nil"/>
        </w:tcBorders>
        <w:shd w:val="clear" w:color="auto" w:fill="FFC000" w:themeFill="accent4"/>
      </w:tcPr>
    </w:tblStylePr>
    <w:tblStylePr w:type="lastRow">
      <w:rPr>
        <w:b/>
        <w:bCs/>
      </w:rPr>
      <w:tblPr/>
      <w:tcPr>
        <w:tcBorders>
          <w:top w:val="double" w:color="FFC000" w:themeColor="accent4" w:sz="4" w:space="0"/>
        </w:tcBorders>
      </w:tcPr>
    </w:tblStylePr>
    <w:tblStylePr w:type="firstCol">
      <w:rPr>
        <w:b/>
        <w:bCs/>
      </w:rPr>
      <w:tblPr/>
    </w:tblStylePr>
    <w:tblStylePr w:type="lastCol">
      <w:rPr>
        <w:b/>
        <w:bCs/>
      </w:rPr>
      <w:tbl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elasiatki5ciemnaakcent41">
    <w:name w:val="Tabela siatki 5 — ciemna — akcent 41"/>
    <w:basedOn w:val="Standardowy"/>
    <w:uiPriority w:val="50"/>
    <w:rsid w:val="001554ad"/>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FF2CC" w:themeFill="accent4" w:themeFillTint="33"/>
    </w:tcPr>
    <w:tblStylePr w:type="firstRow">
      <w:rPr>
        <w:b/>
        <w:bCs/>
        <w:color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FFC000" w:themeFill="accent4"/>
      </w:tcPr>
    </w:tblStylePr>
    <w:tblStylePr w:type="lastRow">
      <w:rPr>
        <w:b/>
        <w:bCs/>
        <w:color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FFC000" w:themeFill="accent4"/>
      </w:tcPr>
    </w:tblStylePr>
    <w:tblStylePr w:type="firstCol">
      <w:rPr>
        <w:b/>
        <w:bCs/>
        <w:color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FFC000" w:themeFill="accent4"/>
      </w:tcPr>
    </w:tblStylePr>
    <w:tblStylePr w:type="lastCol">
      <w:rPr>
        <w:b/>
        <w:bCs/>
        <w:color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elasiatki4akcent31">
    <w:name w:val="Tabela siatki 4 — akcent 31"/>
    <w:basedOn w:val="Standardowy"/>
    <w:uiPriority w:val="49"/>
    <w:rsid w:val="00c856c1"/>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color w:themeColor="background1"/>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blPr/>
      <w:tcPr>
        <w:tcBorders>
          <w:top w:val="double" w:color="A5A5A5" w:themeColor="accent3" w:sz="4" w:space="0"/>
        </w:tcBorders>
      </w:tcPr>
    </w:tblStylePr>
    <w:tblStylePr w:type="firstCol">
      <w:rPr>
        <w:b/>
        <w:bCs/>
      </w:rPr>
      <w:tblPr/>
    </w:tblStylePr>
    <w:tblStylePr w:type="lastCol">
      <w:rPr>
        <w:b/>
        <w:bCs/>
      </w:rPr>
      <w:tbl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Zwykatabela11">
    <w:name w:val="Zwykła tabela 11"/>
    <w:basedOn w:val="Standardowy"/>
    <w:uiPriority w:val="41"/>
    <w:rsid w:val="00cd45a0"/>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blStylePr w:type="firstRow">
      <w:rPr>
        <w:b/>
        <w:bCs/>
      </w:rPr>
      <w:tblPr/>
    </w:tblStylePr>
    <w:tblStylePr w:type="lastRow">
      <w:rPr>
        <w:b/>
        <w:bCs/>
      </w:rPr>
      <w:tblPr/>
      <w:tcPr>
        <w:tcBorders>
          <w:top w:val="double" w:color="FFFFFF" w:themeColor="background1" w:sz="4" w:space="0"/>
        </w:tcBorders>
      </w:tcPr>
    </w:tblStylePr>
    <w:tblStylePr w:type="firstCol">
      <w:rPr>
        <w:b/>
        <w:bCs/>
      </w:rPr>
      <w:tblPr/>
    </w:tblStylePr>
    <w:tblStylePr w:type="lastCol">
      <w:rPr>
        <w:b/>
        <w:bCs/>
      </w:rPr>
      <w:tbl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Siatka">
    <w:name w:val="Table Grid"/>
    <w:basedOn w:val="Standardowy"/>
    <w:uiPriority w:val="39"/>
    <w:rsid w:val="002e621c"/>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Tabelasiatki1jasna1">
    <w:name w:val="Tabela siatki 1 — jasna1"/>
    <w:basedOn w:val="Standardowy"/>
    <w:uiPriority w:val="46"/>
    <w:rsid w:val="004d1312"/>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000000" w:themeColor="text1" w:sz="12" w:space="0"/>
        </w:tcBorders>
      </w:tcPr>
    </w:tblStylePr>
    <w:tblStylePr w:type="lastRow">
      <w:rPr>
        <w:b/>
        <w:bCs/>
      </w:rPr>
      <w:tblPr/>
      <w:tcPr>
        <w:tcBorders>
          <w:top w:val="double" w:color="000000" w:themeColor="text1" w:sz="2" w:space="0"/>
        </w:tcBorders>
      </w:tcPr>
    </w:tblStylePr>
    <w:tblStylePr w:type="firstCol">
      <w:rPr>
        <w:b/>
        <w:bCs/>
      </w:rPr>
      <w:tblPr/>
    </w:tblStylePr>
    <w:tblStylePr w:type="lastCol">
      <w:rPr>
        <w:b/>
        <w:bCs/>
      </w:rPr>
      <w:tblPr/>
    </w:tblStyle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footer" Target="footer1.xml"/><Relationship Id="rId4" Type="http://schemas.openxmlformats.org/officeDocument/2006/relationships/footer" Target="footer2.xml"/><Relationship Id="rId5" Type="http://schemas.openxmlformats.org/officeDocument/2006/relationships/footer" Target="footer3.xml"/><Relationship Id="rId6" Type="http://schemas.openxmlformats.org/officeDocument/2006/relationships/image" Target="media/image2.jpeg"/><Relationship Id="rId7" Type="http://schemas.openxmlformats.org/officeDocument/2006/relationships/hyperlink" Target="http://www.projektymiejskie.pl/" TargetMode="External"/><Relationship Id="rId8" Type="http://schemas.openxmlformats.org/officeDocument/2006/relationships/image" Target="media/image3.jpeg"/><Relationship Id="rId9" Type="http://schemas.openxmlformats.org/officeDocument/2006/relationships/image" Target="media/image4.jpeg"/><Relationship Id="rId10" Type="http://schemas.openxmlformats.org/officeDocument/2006/relationships/image" Target="media/image5.jpeg"/><Relationship Id="rId11" Type="http://schemas.openxmlformats.org/officeDocument/2006/relationships/image" Target="media/image6.png"/><Relationship Id="rId12" Type="http://schemas.openxmlformats.org/officeDocument/2006/relationships/chart" Target="charts/chart1.xml"/><Relationship Id="rId13" Type="http://schemas.openxmlformats.org/officeDocument/2006/relationships/image" Target="media/image7.gif"/><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chart" Target="charts/chart2.xml"/><Relationship Id="rId17" Type="http://schemas.openxmlformats.org/officeDocument/2006/relationships/image" Target="media/image10.jpeg"/><Relationship Id="rId18" Type="http://schemas.openxmlformats.org/officeDocument/2006/relationships/image" Target="media/image11.jpeg"/><Relationship Id="rId19" Type="http://schemas.openxmlformats.org/officeDocument/2006/relationships/image" Target="media/image12.jpeg"/><Relationship Id="rId20" Type="http://schemas.openxmlformats.org/officeDocument/2006/relationships/image" Target="media/image13.jpeg"/><Relationship Id="rId21" Type="http://schemas.openxmlformats.org/officeDocument/2006/relationships/image" Target="media/image14.jpeg"/><Relationship Id="rId22" Type="http://schemas.openxmlformats.org/officeDocument/2006/relationships/image" Target="media/image15.jpeg"/><Relationship Id="rId23" Type="http://schemas.openxmlformats.org/officeDocument/2006/relationships/image" Target="media/image16.jpeg"/><Relationship Id="rId24" Type="http://schemas.openxmlformats.org/officeDocument/2006/relationships/image" Target="media/image17.jpeg"/><Relationship Id="rId25" Type="http://schemas.openxmlformats.org/officeDocument/2006/relationships/image" Target="media/image18.jpeg"/><Relationship Id="rId26" Type="http://schemas.openxmlformats.org/officeDocument/2006/relationships/image" Target="media/image19.png"/><Relationship Id="rId27" Type="http://schemas.microsoft.com/office/2007/relationships/hdphoto" Target="media/hdphoto1.wdp"/><Relationship Id="rId28" Type="http://schemas.openxmlformats.org/officeDocument/2006/relationships/image" Target="media/image19.png"/><Relationship Id="rId29" Type="http://schemas.openxmlformats.org/officeDocument/2006/relationships/image" Target="media/image20.png"/><Relationship Id="rId30" Type="http://schemas.openxmlformats.org/officeDocument/2006/relationships/image" Target="media/image21.png"/><Relationship Id="rId31" Type="http://schemas.openxmlformats.org/officeDocument/2006/relationships/image" Target="media/image22.png"/><Relationship Id="rId32" Type="http://schemas.openxmlformats.org/officeDocument/2006/relationships/image" Target="media/image23.png"/><Relationship Id="rId33" Type="http://schemas.openxmlformats.org/officeDocument/2006/relationships/image" Target="media/image24.png"/><Relationship Id="rId34" Type="http://schemas.microsoft.com/office/2007/relationships/hdphoto" Target="media/hdphoto2.wdp"/><Relationship Id="rId35" Type="http://schemas.openxmlformats.org/officeDocument/2006/relationships/image" Target="media/image24.png"/><Relationship Id="rId36" Type="http://schemas.openxmlformats.org/officeDocument/2006/relationships/image" Target="media/image25.jpeg"/><Relationship Id="rId37" Type="http://schemas.openxmlformats.org/officeDocument/2006/relationships/image" Target="media/image26.png"/><Relationship Id="rId38" Type="http://schemas.openxmlformats.org/officeDocument/2006/relationships/image" Target="media/image27.jpeg"/><Relationship Id="rId39" Type="http://schemas.openxmlformats.org/officeDocument/2006/relationships/image" Target="media/image28.jpeg"/><Relationship Id="rId40" Type="http://schemas.openxmlformats.org/officeDocument/2006/relationships/chart" Target="charts/chart3.xml"/><Relationship Id="rId41" Type="http://schemas.openxmlformats.org/officeDocument/2006/relationships/image" Target="media/image29.jpeg"/><Relationship Id="rId42" Type="http://schemas.openxmlformats.org/officeDocument/2006/relationships/image" Target="media/image30.jpeg"/><Relationship Id="rId43" Type="http://schemas.openxmlformats.org/officeDocument/2006/relationships/image" Target="media/image31.jpeg"/><Relationship Id="rId44" Type="http://schemas.openxmlformats.org/officeDocument/2006/relationships/image" Target="media/image32.jpeg"/><Relationship Id="rId45" Type="http://schemas.openxmlformats.org/officeDocument/2006/relationships/image" Target="media/image33.jpeg"/><Relationship Id="rId46" Type="http://schemas.openxmlformats.org/officeDocument/2006/relationships/image" Target="media/image34.jpeg"/><Relationship Id="rId47" Type="http://schemas.openxmlformats.org/officeDocument/2006/relationships/image" Target="media/image35.jpeg"/><Relationship Id="rId48" Type="http://schemas.openxmlformats.org/officeDocument/2006/relationships/image" Target="media/image36.jpeg"/><Relationship Id="rId49" Type="http://schemas.openxmlformats.org/officeDocument/2006/relationships/chart" Target="charts/chart4.xml"/><Relationship Id="rId50" Type="http://schemas.openxmlformats.org/officeDocument/2006/relationships/image" Target="media/image37.jpeg"/><Relationship Id="rId51" Type="http://schemas.openxmlformats.org/officeDocument/2006/relationships/image" Target="media/image38.jpeg"/><Relationship Id="rId52" Type="http://schemas.openxmlformats.org/officeDocument/2006/relationships/image" Target="media/image39.jpeg"/><Relationship Id="rId53" Type="http://schemas.openxmlformats.org/officeDocument/2006/relationships/image" Target="media/image40.jpeg"/><Relationship Id="rId54" Type="http://schemas.openxmlformats.org/officeDocument/2006/relationships/footer" Target="footer4.xml"/><Relationship Id="rId55" Type="http://schemas.openxmlformats.org/officeDocument/2006/relationships/footer" Target="footer5.xml"/><Relationship Id="rId56" Type="http://schemas.openxmlformats.org/officeDocument/2006/relationships/footer" Target="footer6.xml"/><Relationship Id="rId57" Type="http://schemas.openxmlformats.org/officeDocument/2006/relationships/footer" Target="footer7.xml"/><Relationship Id="rId58" Type="http://schemas.openxmlformats.org/officeDocument/2006/relationships/footer" Target="footer8.xml"/><Relationship Id="rId59" Type="http://schemas.openxmlformats.org/officeDocument/2006/relationships/footer" Target="footer9.xml"/><Relationship Id="rId60" Type="http://schemas.openxmlformats.org/officeDocument/2006/relationships/footnotes" Target="footnotes.xml"/><Relationship Id="rId61" Type="http://schemas.openxmlformats.org/officeDocument/2006/relationships/numbering" Target="numbering.xml"/><Relationship Id="rId62" Type="http://schemas.openxmlformats.org/officeDocument/2006/relationships/fontTable" Target="fontTable.xml"/><Relationship Id="rId63" Type="http://schemas.openxmlformats.org/officeDocument/2006/relationships/settings" Target="settings.xml"/><Relationship Id="rId64" Type="http://schemas.openxmlformats.org/officeDocument/2006/relationships/theme" Target="theme/theme1.xml"/><Relationship Id="rId65" Type="http://schemas.openxmlformats.org/officeDocument/2006/relationships/customXml" Target="../customXml/item1.xml"/><Relationship Id="rId66" Type="http://schemas.openxmlformats.org/officeDocument/2006/relationships/customXml" Target="../customXml/item2.xml"/><Relationship Id="rId67" Type="http://schemas.openxmlformats.org/officeDocument/2006/relationships/customXml" Target="../customXml/item3.xml"/><Relationship Id="rId68" Type="http://schemas.openxmlformats.org/officeDocument/2006/relationships/customXml" Target="../customXml/item4.xml"/>
</Relationships>
</file>

<file path=word/charts/_rels/chart1.xml.rels><?xml version="1.0" encoding="UTF-8"?>
<Relationships xmlns="http://schemas.openxmlformats.org/package/2006/relationships"><Relationship Id="rId1" Type="http://schemas.openxmlformats.org/officeDocument/2006/relationships/package" Target="../embeddings/Microsoft_Excel_Worksheet.xlsx"/>
</Relationships>
</file>

<file path=word/charts/chart1.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sz="1300" strike="noStrike" u="none">
                <a:uFillTx/>
                <a:latin typeface="Arial"/>
              </a:defRPr>
            </a:pPr>
            <a:r>
              <a:rPr b="1" lang="pl-PL" sz="1200" strike="noStrike" u="none">
                <a:solidFill>
                  <a:srgbClr val="595959"/>
                </a:solidFill>
                <a:uFillTx/>
                <a:latin typeface="Aptos"/>
              </a:rPr>
              <a:t>Czy rozważa Pani/Pan możliwość stałej zmiany miejsca zamieszkania? </a:t>
            </a:r>
          </a:p>
        </c:rich>
      </c:tx>
      <c:overlay val="0"/>
      <c:spPr>
        <a:noFill/>
        <a:ln w="0">
          <a:noFill/>
        </a:ln>
      </c:spPr>
    </c:title>
    <c:autoTitleDeleted val="0"/>
    <c:plotArea>
      <c:layout>
        <c:manualLayout>
          <c:layoutTarget val="inner"/>
          <c:xMode val="edge"/>
          <c:yMode val="edge"/>
          <c:x val="0.0440625"/>
          <c:y val="0.225888888888889"/>
          <c:w val="0.370875"/>
          <c:h val="0.710111111111111"/>
        </c:manualLayout>
      </c:layout>
      <c:pieChart>
        <c:varyColors val="1"/>
        <c:ser>
          <c:idx val="0"/>
          <c:order val="0"/>
          <c:tx>
            <c:strRef>
              <c:f>label 0</c:f>
              <c:strCache>
                <c:ptCount val="1"/>
                <c:pt idx="0">
                  <c:v>Seria1</c:v>
                </c:pt>
              </c:strCache>
            </c:strRef>
          </c:tx>
          <c:spPr>
            <a:solidFill>
              <a:srgbClr val="4472c4"/>
            </a:solidFill>
            <a:ln w="0">
              <a:noFill/>
            </a:ln>
          </c:spPr>
          <c:explosion val="0"/>
          <c:dPt>
            <c:idx val="0"/>
            <c:spPr>
              <a:solidFill>
                <a:srgbClr val="ed7d31"/>
              </a:solidFill>
              <a:ln w="19080">
                <a:solidFill>
                  <a:srgbClr val="ffffff"/>
                </a:solidFill>
                <a:round/>
              </a:ln>
            </c:spPr>
          </c:dPt>
          <c:dPt>
            <c:idx val="1"/>
            <c:spPr>
              <a:solidFill>
                <a:srgbClr val="ffc000"/>
              </a:solidFill>
              <a:ln w="19080">
                <a:solidFill>
                  <a:srgbClr val="ffffff"/>
                </a:solidFill>
                <a:round/>
              </a:ln>
            </c:spPr>
          </c:dPt>
          <c:dPt>
            <c:idx val="2"/>
            <c:spPr>
              <a:solidFill>
                <a:srgbClr val="70ad47"/>
              </a:solidFill>
              <a:ln w="19080">
                <a:solidFill>
                  <a:srgbClr val="ffffff"/>
                </a:solidFill>
                <a:round/>
              </a:ln>
            </c:spPr>
          </c:dPt>
          <c:dPt>
            <c:idx val="3"/>
            <c:spPr>
              <a:solidFill>
                <a:srgbClr val="9e480e"/>
              </a:solidFill>
              <a:ln w="19080">
                <a:solidFill>
                  <a:srgbClr val="ffffff"/>
                </a:solidFill>
                <a:round/>
              </a:ln>
            </c:spPr>
          </c:dPt>
          <c:dPt>
            <c:idx val="4"/>
            <c:spPr>
              <a:solidFill>
                <a:srgbClr val="997300"/>
              </a:solidFill>
              <a:ln w="19080">
                <a:solidFill>
                  <a:srgbClr val="ffffff"/>
                </a:solidFill>
                <a:round/>
              </a:ln>
            </c:spPr>
          </c:dPt>
          <c:dLbls>
            <c:numFmt formatCode="0.0%" sourceLinked="0"/>
            <c:dLbl>
              <c:idx val="0"/>
              <c:layout>
                <c:manualLayout>
                  <c:x val="-0.1168430335097"/>
                  <c:y val="0.0178292845999554"/>
                </c:manualLayout>
              </c:layout>
              <c:numFmt formatCode="0.0%" sourceLinked="0"/>
              <c:txPr>
                <a:bodyPr wrap="square"/>
                <a:lstStyle/>
                <a:p>
                  <a:pPr>
                    <a:defRPr b="1" sz="1100" strike="noStrike" u="none">
                      <a:solidFill>
                        <a:srgbClr val="404040"/>
                      </a:solidFill>
                      <a:uFillTx/>
                      <a:latin typeface="Aptos"/>
                    </a:defRPr>
                  </a:pPr>
                </a:p>
              </c:txPr>
              <c:dLblPos val="outEnd"/>
              <c:showLegendKey val="0"/>
              <c:showVal val="1"/>
              <c:showCatName val="0"/>
              <c:showSerName val="0"/>
              <c:showPercent val="0"/>
              <c:separator>; </c:separator>
            </c:dLbl>
            <c:dLbl>
              <c:idx val="1"/>
              <c:numFmt formatCode="0.0%" sourceLinked="0"/>
              <c:txPr>
                <a:bodyPr wrap="square"/>
                <a:lstStyle/>
                <a:p>
                  <a:pPr>
                    <a:defRPr b="1" sz="1100" strike="noStrike" u="none">
                      <a:solidFill>
                        <a:srgbClr val="404040"/>
                      </a:solidFill>
                      <a:uFillTx/>
                      <a:latin typeface="Aptos"/>
                    </a:defRPr>
                  </a:pPr>
                </a:p>
              </c:txPr>
              <c:dLblPos val="bestFit"/>
              <c:showLegendKey val="0"/>
              <c:showVal val="1"/>
              <c:showCatName val="0"/>
              <c:showSerName val="0"/>
              <c:showPercent val="0"/>
              <c:separator>; </c:separator>
            </c:dLbl>
            <c:dLbl>
              <c:idx val="2"/>
              <c:numFmt formatCode="0.0%" sourceLinked="0"/>
              <c:txPr>
                <a:bodyPr wrap="square"/>
                <a:lstStyle/>
                <a:p>
                  <a:pPr>
                    <a:defRPr b="1" sz="1100" strike="noStrike" u="none">
                      <a:solidFill>
                        <a:srgbClr val="404040"/>
                      </a:solidFill>
                      <a:uFillTx/>
                      <a:latin typeface="Aptos"/>
                    </a:defRPr>
                  </a:pPr>
                </a:p>
              </c:txPr>
              <c:dLblPos val="bestFit"/>
              <c:showLegendKey val="0"/>
              <c:showVal val="1"/>
              <c:showCatName val="0"/>
              <c:showSerName val="0"/>
              <c:showPercent val="0"/>
              <c:separator>; </c:separator>
            </c:dLbl>
            <c:dLbl>
              <c:idx val="3"/>
              <c:numFmt formatCode="0.0%" sourceLinked="0"/>
              <c:txPr>
                <a:bodyPr wrap="square"/>
                <a:lstStyle/>
                <a:p>
                  <a:pPr>
                    <a:defRPr b="1" sz="1100" strike="noStrike" u="none">
                      <a:solidFill>
                        <a:srgbClr val="404040"/>
                      </a:solidFill>
                      <a:uFillTx/>
                      <a:latin typeface="Aptos"/>
                    </a:defRPr>
                  </a:pPr>
                </a:p>
              </c:txPr>
              <c:dLblPos val="outEnd"/>
              <c:showLegendKey val="0"/>
              <c:showVal val="1"/>
              <c:showCatName val="0"/>
              <c:showSerName val="0"/>
              <c:showPercent val="0"/>
              <c:separator>; </c:separator>
            </c:dLbl>
            <c:dLbl>
              <c:idx val="4"/>
              <c:numFmt formatCode="0.0%" sourceLinked="0"/>
              <c:txPr>
                <a:bodyPr wrap="square"/>
                <a:lstStyle/>
                <a:p>
                  <a:pPr>
                    <a:defRPr b="1" sz="1100" strike="noStrike" u="none">
                      <a:solidFill>
                        <a:srgbClr val="404040"/>
                      </a:solidFill>
                      <a:uFillTx/>
                      <a:latin typeface="Aptos"/>
                    </a:defRPr>
                  </a:pPr>
                </a:p>
              </c:txPr>
              <c:dLblPos val="outEnd"/>
              <c:showLegendKey val="0"/>
              <c:showVal val="1"/>
              <c:showCatName val="0"/>
              <c:showSerName val="0"/>
              <c:showPercent val="0"/>
              <c:separator>; </c:separator>
            </c:dLbl>
            <c:txPr>
              <a:bodyPr wrap="square"/>
              <a:lstStyle/>
              <a:p>
                <a:pPr>
                  <a:defRPr b="1" sz="1100" strike="noStrike" u="none">
                    <a:solidFill>
                      <a:srgbClr val="404040"/>
                    </a:solidFill>
                    <a:uFillTx/>
                    <a:latin typeface="Aptos"/>
                  </a:defRPr>
                </a:pPr>
              </a:p>
            </c:txPr>
            <c:dLblPos val="bestFit"/>
            <c:showLegendKey val="0"/>
            <c:showVal val="1"/>
            <c:showCatName val="0"/>
            <c:showSerName val="0"/>
            <c:showPercent val="0"/>
            <c:separator>; </c:separator>
            <c:showLeaderLines val="1"/>
          </c:dLbls>
          <c:cat>
            <c:strRef>
              <c:f>categories</c:f>
              <c:strCache>
                <c:ptCount val="5"/>
                <c:pt idx="0">
                  <c:v>Nie rozważam</c:v>
                </c:pt>
                <c:pt idx="1">
                  <c:v>Nie zastanawiałam/-em się nad tym</c:v>
                </c:pt>
                <c:pt idx="2">
                  <c:v>Tak, do innego miasta / gminy w Polsce lub zagranicą</c:v>
                </c:pt>
                <c:pt idx="3">
                  <c:v>Tak, do innej części Gminy Nowe Miasteczko</c:v>
                </c:pt>
                <c:pt idx="4">
                  <c:v>Tak, do miejscowości sąsiadującej z Gminą Nowe Miasteczko</c:v>
                </c:pt>
              </c:strCache>
            </c:strRef>
          </c:cat>
          <c:val>
            <c:numRef>
              <c:f>0</c:f>
              <c:numCache>
                <c:formatCode>General</c:formatCode>
                <c:ptCount val="5"/>
                <c:pt idx="0">
                  <c:v>0.45578231292517</c:v>
                </c:pt>
                <c:pt idx="1">
                  <c:v>0.217687074829932</c:v>
                </c:pt>
                <c:pt idx="2">
                  <c:v>0.251700680272109</c:v>
                </c:pt>
                <c:pt idx="3">
                  <c:v>0.0204081632653061</c:v>
                </c:pt>
                <c:pt idx="4">
                  <c:v>0.054421768707483</c:v>
                </c:pt>
              </c:numCache>
            </c:numRef>
          </c:val>
        </c:ser>
        <c:firstSliceAng val="0"/>
      </c:pieChart>
      <c:spPr>
        <a:noFill/>
        <a:ln w="0">
          <a:noFill/>
        </a:ln>
      </c:spPr>
    </c:plotArea>
    <c:legend>
      <c:legendPos val="b"/>
      <c:layout>
        <c:manualLayout>
          <c:xMode val="edge"/>
          <c:yMode val="edge"/>
          <c:x val="0.419125"/>
          <c:y val="0.376111111111111"/>
          <c:w val="0.566410400650041"/>
          <c:h val="0.609623291476831"/>
        </c:manualLayout>
      </c:layout>
      <c:overlay val="0"/>
      <c:spPr>
        <a:noFill/>
        <a:ln w="0">
          <a:noFill/>
        </a:ln>
      </c:spPr>
      <c:txPr>
        <a:bodyPr/>
        <a:lstStyle/>
        <a:p>
          <a:pPr>
            <a:defRPr b="0" sz="1050" strike="noStrike" u="none">
              <a:solidFill>
                <a:srgbClr val="595959"/>
              </a:solidFill>
              <a:uFillTx/>
              <a:latin typeface="Aptos"/>
            </a:defRPr>
          </a:pPr>
        </a:p>
      </c:txPr>
    </c:legend>
    <c:plotVisOnly val="1"/>
    <c:dispBlanksAs val="gap"/>
  </c:chart>
  <c:spPr>
    <a:solidFill>
      <a:srgbClr val="ffffff"/>
    </a:solidFill>
    <a:ln w="9360">
      <a:solidFill>
        <a:srgbClr val="d9d9d9"/>
      </a:solidFill>
      <a:round/>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sz="1300" strike="noStrike" u="none">
                <a:uFillTx/>
                <a:latin typeface="Arial"/>
              </a:defRPr>
            </a:pPr>
            <a:r>
              <a:rPr b="1" lang="pl-PL" sz="1200" strike="noStrike" u="none">
                <a:solidFill>
                  <a:srgbClr val="595959"/>
                </a:solidFill>
                <a:uFillTx/>
                <a:latin typeface="Aptos"/>
              </a:rPr>
              <a:t>Jaki jest Pani/Pana zdaniem stan bezpieczeństwa na terenie obszaru rewitalizacji w Nowym Miasteczku?</a:t>
            </a:r>
          </a:p>
        </c:rich>
      </c:tx>
      <c:layout>
        <c:manualLayout>
          <c:xMode val="edge"/>
          <c:yMode val="edge"/>
          <c:x val="0.146124605373365"/>
          <c:y val="0.0476253648182542"/>
        </c:manualLayout>
      </c:layout>
      <c:overlay val="0"/>
      <c:spPr>
        <a:noFill/>
        <a:ln w="0">
          <a:noFill/>
        </a:ln>
      </c:spPr>
    </c:title>
    <c:autoTitleDeleted val="0"/>
    <c:plotArea>
      <c:layout>
        <c:manualLayout>
          <c:layoutTarget val="inner"/>
          <c:xMode val="edge"/>
          <c:yMode val="edge"/>
          <c:x val="0.0440625"/>
          <c:y val="0.225888888888889"/>
          <c:w val="0.370875"/>
          <c:h val="0.710111111111111"/>
        </c:manualLayout>
      </c:layout>
      <c:pieChart>
        <c:varyColors val="1"/>
        <c:ser>
          <c:idx val="0"/>
          <c:order val="0"/>
          <c:tx>
            <c:strRef>
              <c:f>label 0</c:f>
              <c:strCache>
                <c:ptCount val="1"/>
                <c:pt idx="0">
                  <c:v>Seria1</c:v>
                </c:pt>
              </c:strCache>
            </c:strRef>
          </c:tx>
          <c:spPr>
            <a:solidFill>
              <a:srgbClr val="4472c4"/>
            </a:solidFill>
            <a:ln w="0">
              <a:noFill/>
            </a:ln>
          </c:spPr>
          <c:explosion val="0"/>
          <c:dPt>
            <c:idx val="0"/>
            <c:spPr>
              <a:solidFill>
                <a:srgbClr val="70ad47"/>
              </a:solidFill>
              <a:ln w="19080">
                <a:solidFill>
                  <a:srgbClr val="ffffff"/>
                </a:solidFill>
                <a:round/>
              </a:ln>
            </c:spPr>
          </c:dPt>
          <c:dPt>
            <c:idx val="1"/>
            <c:spPr>
              <a:solidFill>
                <a:srgbClr val="5b9bd5"/>
              </a:solidFill>
              <a:ln w="19080">
                <a:solidFill>
                  <a:srgbClr val="ffffff"/>
                </a:solidFill>
                <a:round/>
              </a:ln>
            </c:spPr>
          </c:dPt>
          <c:dPt>
            <c:idx val="2"/>
            <c:spPr>
              <a:solidFill>
                <a:srgbClr val="ffc000"/>
              </a:solidFill>
              <a:ln w="19080">
                <a:solidFill>
                  <a:srgbClr val="ffffff"/>
                </a:solidFill>
                <a:round/>
              </a:ln>
            </c:spPr>
          </c:dPt>
          <c:dPt>
            <c:idx val="3"/>
            <c:spPr>
              <a:solidFill>
                <a:srgbClr val="43682b"/>
              </a:solidFill>
              <a:ln w="19080">
                <a:solidFill>
                  <a:srgbClr val="ffffff"/>
                </a:solidFill>
                <a:round/>
              </a:ln>
            </c:spPr>
          </c:dPt>
          <c:dPt>
            <c:idx val="4"/>
            <c:spPr>
              <a:solidFill>
                <a:srgbClr val="255e91"/>
              </a:solidFill>
              <a:ln w="19080">
                <a:solidFill>
                  <a:srgbClr val="ffffff"/>
                </a:solidFill>
                <a:round/>
              </a:ln>
            </c:spPr>
          </c:dPt>
          <c:dPt>
            <c:idx val="5"/>
            <c:spPr>
              <a:solidFill>
                <a:srgbClr val="997300"/>
              </a:solidFill>
              <a:ln w="19080">
                <a:solidFill>
                  <a:srgbClr val="ffffff"/>
                </a:solidFill>
                <a:round/>
              </a:ln>
            </c:spPr>
          </c:dPt>
          <c:dLbls>
            <c:numFmt formatCode="0.0%" sourceLinked="0"/>
            <c:dLbl>
              <c:idx val="0"/>
              <c:layout>
                <c:manualLayout>
                  <c:x val="-0.0340909090909091"/>
                  <c:y val="0.102948058025269"/>
                </c:manualLayout>
              </c:layout>
              <c:numFmt formatCode="0.0%" sourceLinked="0"/>
              <c:txPr>
                <a:bodyPr wrap="square"/>
                <a:lstStyle/>
                <a:p>
                  <a:pPr>
                    <a:defRPr b="1" sz="1100" strike="noStrike" u="none">
                      <a:solidFill>
                        <a:srgbClr val="404040"/>
                      </a:solidFill>
                      <a:uFillTx/>
                      <a:latin typeface="Aptos"/>
                    </a:defRPr>
                  </a:pPr>
                </a:p>
              </c:txPr>
              <c:dLblPos val="outEnd"/>
              <c:showLegendKey val="0"/>
              <c:showVal val="1"/>
              <c:showCatName val="0"/>
              <c:showSerName val="0"/>
              <c:showPercent val="0"/>
              <c:separator>; </c:separator>
            </c:dLbl>
            <c:dLbl>
              <c:idx val="1"/>
              <c:numFmt formatCode="0.0%" sourceLinked="0"/>
              <c:txPr>
                <a:bodyPr wrap="square"/>
                <a:lstStyle/>
                <a:p>
                  <a:pPr>
                    <a:defRPr b="1" sz="1100" strike="noStrike" u="none">
                      <a:solidFill>
                        <a:srgbClr val="404040"/>
                      </a:solidFill>
                      <a:uFillTx/>
                      <a:latin typeface="Aptos"/>
                    </a:defRPr>
                  </a:pPr>
                </a:p>
              </c:txPr>
              <c:dLblPos val="bestFit"/>
              <c:showLegendKey val="0"/>
              <c:showVal val="1"/>
              <c:showCatName val="0"/>
              <c:showSerName val="0"/>
              <c:showPercent val="0"/>
              <c:separator>; </c:separator>
            </c:dLbl>
            <c:dLbl>
              <c:idx val="2"/>
              <c:numFmt formatCode="0.0%" sourceLinked="0"/>
              <c:txPr>
                <a:bodyPr wrap="square"/>
                <a:lstStyle/>
                <a:p>
                  <a:pPr>
                    <a:defRPr b="1" sz="1100" strike="noStrike" u="none">
                      <a:solidFill>
                        <a:srgbClr val="404040"/>
                      </a:solidFill>
                      <a:uFillTx/>
                      <a:latin typeface="Aptos"/>
                    </a:defRPr>
                  </a:pPr>
                </a:p>
              </c:txPr>
              <c:dLblPos val="bestFit"/>
              <c:showLegendKey val="0"/>
              <c:showVal val="1"/>
              <c:showCatName val="0"/>
              <c:showSerName val="0"/>
              <c:showPercent val="0"/>
              <c:separator>; </c:separator>
            </c:dLbl>
            <c:dLbl>
              <c:idx val="3"/>
              <c:numFmt formatCode="0.0%" sourceLinked="0"/>
              <c:txPr>
                <a:bodyPr wrap="square"/>
                <a:lstStyle/>
                <a:p>
                  <a:pPr>
                    <a:defRPr b="1" sz="1100" strike="noStrike" u="none">
                      <a:solidFill>
                        <a:srgbClr val="404040"/>
                      </a:solidFill>
                      <a:uFillTx/>
                      <a:latin typeface="Aptos"/>
                    </a:defRPr>
                  </a:pPr>
                </a:p>
              </c:txPr>
              <c:dLblPos val="bestFit"/>
              <c:showLegendKey val="0"/>
              <c:showVal val="1"/>
              <c:showCatName val="0"/>
              <c:showSerName val="0"/>
              <c:showPercent val="0"/>
              <c:separator>; </c:separator>
            </c:dLbl>
            <c:dLbl>
              <c:idx val="4"/>
              <c:numFmt formatCode="0.0%" sourceLinked="0"/>
              <c:txPr>
                <a:bodyPr wrap="square"/>
                <a:lstStyle/>
                <a:p>
                  <a:pPr>
                    <a:defRPr b="1" sz="1100" strike="noStrike" u="none">
                      <a:solidFill>
                        <a:srgbClr val="404040"/>
                      </a:solidFill>
                      <a:uFillTx/>
                      <a:latin typeface="Aptos"/>
                    </a:defRPr>
                  </a:pPr>
                </a:p>
              </c:txPr>
              <c:dLblPos val="outEnd"/>
              <c:showLegendKey val="0"/>
              <c:showVal val="1"/>
              <c:showCatName val="0"/>
              <c:showSerName val="0"/>
              <c:showPercent val="0"/>
              <c:separator>; </c:separator>
            </c:dLbl>
            <c:dLbl>
              <c:idx val="5"/>
              <c:numFmt formatCode="0.0%" sourceLinked="0"/>
              <c:txPr>
                <a:bodyPr wrap="square"/>
                <a:lstStyle/>
                <a:p>
                  <a:pPr>
                    <a:defRPr b="1" sz="1100" strike="noStrike" u="none">
                      <a:solidFill>
                        <a:srgbClr val="404040"/>
                      </a:solidFill>
                      <a:uFillTx/>
                      <a:latin typeface="Aptos"/>
                    </a:defRPr>
                  </a:pPr>
                </a:p>
              </c:txPr>
              <c:dLblPos val="outEnd"/>
              <c:showLegendKey val="0"/>
              <c:showVal val="1"/>
              <c:showCatName val="0"/>
              <c:showSerName val="0"/>
              <c:showPercent val="0"/>
              <c:separator>; </c:separator>
            </c:dLbl>
            <c:txPr>
              <a:bodyPr wrap="square"/>
              <a:lstStyle/>
              <a:p>
                <a:pPr>
                  <a:defRPr b="1" sz="1100" strike="noStrike" u="none">
                    <a:solidFill>
                      <a:srgbClr val="404040"/>
                    </a:solidFill>
                    <a:uFillTx/>
                    <a:latin typeface="Aptos"/>
                  </a:defRPr>
                </a:pPr>
              </a:p>
            </c:txPr>
            <c:dLblPos val="bestFit"/>
            <c:showLegendKey val="0"/>
            <c:showVal val="1"/>
            <c:showCatName val="0"/>
            <c:showSerName val="0"/>
            <c:showPercent val="0"/>
            <c:separator>; </c:separator>
            <c:showLeaderLines val="1"/>
          </c:dLbls>
          <c:cat>
            <c:strRef>
              <c:f>categories</c:f>
              <c:strCache>
                <c:ptCount val="6"/>
                <c:pt idx="0">
                  <c:v>Bardzo dobry</c:v>
                </c:pt>
                <c:pt idx="1">
                  <c:v>Dobry</c:v>
                </c:pt>
                <c:pt idx="2">
                  <c:v>Ani dobry, ani zły</c:v>
                </c:pt>
                <c:pt idx="3">
                  <c:v>Zły</c:v>
                </c:pt>
                <c:pt idx="4">
                  <c:v>Bardzo zły</c:v>
                </c:pt>
                <c:pt idx="5">
                  <c:v>Nie mam zdania</c:v>
                </c:pt>
              </c:strCache>
            </c:strRef>
          </c:cat>
          <c:val>
            <c:numRef>
              <c:f>0</c:f>
              <c:numCache>
                <c:formatCode>General</c:formatCode>
                <c:ptCount val="6"/>
                <c:pt idx="0">
                  <c:v>0.0928571428571429</c:v>
                </c:pt>
                <c:pt idx="1">
                  <c:v>0.435714285714286</c:v>
                </c:pt>
                <c:pt idx="2">
                  <c:v>0.285714285714286</c:v>
                </c:pt>
                <c:pt idx="3">
                  <c:v>0.0857142857142857</c:v>
                </c:pt>
                <c:pt idx="4">
                  <c:v>0.0428571428571429</c:v>
                </c:pt>
                <c:pt idx="5">
                  <c:v>0.0571428571428571</c:v>
                </c:pt>
              </c:numCache>
            </c:numRef>
          </c:val>
        </c:ser>
        <c:firstSliceAng val="0"/>
      </c:pieChart>
      <c:spPr>
        <a:noFill/>
        <a:ln w="0">
          <a:noFill/>
        </a:ln>
      </c:spPr>
    </c:plotArea>
    <c:legend>
      <c:legendPos val="b"/>
      <c:layout>
        <c:manualLayout>
          <c:xMode val="edge"/>
          <c:yMode val="edge"/>
          <c:x val="0.45475"/>
          <c:y val="0.358"/>
          <c:w val="0.525657853615851"/>
          <c:h val="0.383709301033448"/>
        </c:manualLayout>
      </c:layout>
      <c:overlay val="0"/>
      <c:spPr>
        <a:noFill/>
        <a:ln w="0">
          <a:noFill/>
        </a:ln>
      </c:spPr>
      <c:txPr>
        <a:bodyPr/>
        <a:lstStyle/>
        <a:p>
          <a:pPr>
            <a:defRPr b="0" sz="1050" strike="noStrike" u="none">
              <a:solidFill>
                <a:srgbClr val="595959"/>
              </a:solidFill>
              <a:uFillTx/>
              <a:latin typeface="Aptos"/>
            </a:defRPr>
          </a:pPr>
        </a:p>
      </c:txPr>
    </c:legend>
    <c:plotVisOnly val="1"/>
    <c:dispBlanksAs val="gap"/>
  </c:chart>
  <c:spPr>
    <a:solidFill>
      <a:srgbClr val="ffffff"/>
    </a:solidFill>
    <a:ln w="9360">
      <a:solidFill>
        <a:srgbClr val="d9d9d9"/>
      </a:solidFill>
      <a:round/>
    </a:ln>
  </c:spPr>
</c:chartSpace>
</file>

<file path=word/charts/chart3.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sz="1300" strike="noStrike" u="none">
                <a:uFillTx/>
                <a:latin typeface="Arial"/>
              </a:defRPr>
            </a:pPr>
            <a:r>
              <a:rPr b="1" lang="pl-PL" sz="1200" strike="noStrike" u="none">
                <a:solidFill>
                  <a:srgbClr val="595959"/>
                </a:solidFill>
                <a:uFillTx/>
                <a:latin typeface="Aptos"/>
              </a:rPr>
              <a:t>Jak często załatwia Pani/Pan sprawy lub korzysta z usług położonych przy Rynku w Nowym Miasteczku? </a:t>
            </a:r>
          </a:p>
        </c:rich>
      </c:tx>
      <c:overlay val="0"/>
      <c:spPr>
        <a:noFill/>
        <a:ln w="0">
          <a:noFill/>
        </a:ln>
      </c:spPr>
    </c:title>
    <c:autoTitleDeleted val="0"/>
    <c:plotArea>
      <c:layout>
        <c:manualLayout>
          <c:layoutTarget val="inner"/>
          <c:xMode val="edge"/>
          <c:yMode val="edge"/>
          <c:x val="0.0440625"/>
          <c:y val="0.225888888888889"/>
          <c:w val="0.370875"/>
          <c:h val="0.710111111111111"/>
        </c:manualLayout>
      </c:layout>
      <c:pieChart>
        <c:varyColors val="1"/>
        <c:ser>
          <c:idx val="0"/>
          <c:order val="0"/>
          <c:tx>
            <c:strRef>
              <c:f>label 0</c:f>
              <c:strCache>
                <c:ptCount val="1"/>
                <c:pt idx="0">
                  <c:v>Seria1</c:v>
                </c:pt>
              </c:strCache>
            </c:strRef>
          </c:tx>
          <c:spPr>
            <a:solidFill>
              <a:srgbClr val="4472c4"/>
            </a:solidFill>
            <a:ln w="0">
              <a:noFill/>
            </a:ln>
          </c:spPr>
          <c:explosion val="0"/>
          <c:dPt>
            <c:idx val="0"/>
            <c:spPr>
              <a:solidFill>
                <a:srgbClr val="ed7d31"/>
              </a:solidFill>
              <a:ln w="19080">
                <a:solidFill>
                  <a:srgbClr val="ffffff"/>
                </a:solidFill>
                <a:round/>
              </a:ln>
            </c:spPr>
          </c:dPt>
          <c:dPt>
            <c:idx val="1"/>
            <c:spPr>
              <a:solidFill>
                <a:srgbClr val="ffc000"/>
              </a:solidFill>
              <a:ln w="19080">
                <a:solidFill>
                  <a:srgbClr val="ffffff"/>
                </a:solidFill>
                <a:round/>
              </a:ln>
            </c:spPr>
          </c:dPt>
          <c:dPt>
            <c:idx val="2"/>
            <c:spPr>
              <a:solidFill>
                <a:srgbClr val="70ad47"/>
              </a:solidFill>
              <a:ln w="19080">
                <a:solidFill>
                  <a:srgbClr val="ffffff"/>
                </a:solidFill>
                <a:round/>
              </a:ln>
            </c:spPr>
          </c:dPt>
          <c:dPt>
            <c:idx val="3"/>
            <c:spPr>
              <a:solidFill>
                <a:srgbClr val="9e480e"/>
              </a:solidFill>
              <a:ln w="19080">
                <a:solidFill>
                  <a:srgbClr val="ffffff"/>
                </a:solidFill>
                <a:round/>
              </a:ln>
            </c:spPr>
          </c:dPt>
          <c:dPt>
            <c:idx val="4"/>
            <c:spPr>
              <a:solidFill>
                <a:srgbClr val="997300"/>
              </a:solidFill>
              <a:ln w="19080">
                <a:solidFill>
                  <a:srgbClr val="ffffff"/>
                </a:solidFill>
                <a:round/>
              </a:ln>
            </c:spPr>
          </c:dPt>
          <c:dLbls>
            <c:numFmt formatCode="0.0%" sourceLinked="0"/>
            <c:dLbl>
              <c:idx val="0"/>
              <c:numFmt formatCode="0.0%" sourceLinked="0"/>
              <c:txPr>
                <a:bodyPr wrap="square"/>
                <a:lstStyle/>
                <a:p>
                  <a:pPr>
                    <a:defRPr b="0" sz="1100" strike="noStrike" u="none">
                      <a:solidFill>
                        <a:srgbClr val="404040"/>
                      </a:solidFill>
                      <a:uFillTx/>
                      <a:latin typeface="Aptos"/>
                    </a:defRPr>
                  </a:pPr>
                </a:p>
              </c:txPr>
              <c:dLblPos val="outEnd"/>
              <c:showLegendKey val="0"/>
              <c:showVal val="1"/>
              <c:showCatName val="0"/>
              <c:showSerName val="0"/>
              <c:showPercent val="0"/>
              <c:separator>; </c:separator>
            </c:dLbl>
            <c:dLbl>
              <c:idx val="1"/>
              <c:numFmt formatCode="0.0%" sourceLinked="0"/>
              <c:txPr>
                <a:bodyPr wrap="square"/>
                <a:lstStyle/>
                <a:p>
                  <a:pPr>
                    <a:defRPr b="0" sz="1100" strike="noStrike" u="none">
                      <a:solidFill>
                        <a:srgbClr val="404040"/>
                      </a:solidFill>
                      <a:uFillTx/>
                      <a:latin typeface="Aptos"/>
                    </a:defRPr>
                  </a:pPr>
                </a:p>
              </c:txPr>
              <c:dLblPos val="outEnd"/>
              <c:showLegendKey val="0"/>
              <c:showVal val="1"/>
              <c:showCatName val="0"/>
              <c:showSerName val="0"/>
              <c:showPercent val="0"/>
              <c:separator>; </c:separator>
            </c:dLbl>
            <c:dLbl>
              <c:idx val="2"/>
              <c:numFmt formatCode="0.0%" sourceLinked="0"/>
              <c:txPr>
                <a:bodyPr wrap="square"/>
                <a:lstStyle/>
                <a:p>
                  <a:pPr>
                    <a:defRPr b="0" sz="1100" strike="noStrike" u="none">
                      <a:solidFill>
                        <a:srgbClr val="404040"/>
                      </a:solidFill>
                      <a:uFillTx/>
                      <a:latin typeface="Aptos"/>
                    </a:defRPr>
                  </a:pPr>
                </a:p>
              </c:txPr>
              <c:dLblPos val="outEnd"/>
              <c:showLegendKey val="0"/>
              <c:showVal val="1"/>
              <c:showCatName val="0"/>
              <c:showSerName val="0"/>
              <c:showPercent val="0"/>
              <c:separator>; </c:separator>
            </c:dLbl>
            <c:dLbl>
              <c:idx val="3"/>
              <c:numFmt formatCode="0.0%" sourceLinked="0"/>
              <c:txPr>
                <a:bodyPr wrap="square"/>
                <a:lstStyle/>
                <a:p>
                  <a:pPr>
                    <a:defRPr b="0" sz="1100" strike="noStrike" u="none">
                      <a:solidFill>
                        <a:srgbClr val="404040"/>
                      </a:solidFill>
                      <a:uFillTx/>
                      <a:latin typeface="Aptos"/>
                    </a:defRPr>
                  </a:pPr>
                </a:p>
              </c:txPr>
              <c:dLblPos val="outEnd"/>
              <c:showLegendKey val="0"/>
              <c:showVal val="1"/>
              <c:showCatName val="0"/>
              <c:showSerName val="0"/>
              <c:showPercent val="0"/>
              <c:separator>; </c:separator>
            </c:dLbl>
            <c:dLbl>
              <c:idx val="4"/>
              <c:numFmt formatCode="0.0%" sourceLinked="0"/>
              <c:txPr>
                <a:bodyPr wrap="square"/>
                <a:lstStyle/>
                <a:p>
                  <a:pPr>
                    <a:defRPr b="0" sz="1100" strike="noStrike" u="none">
                      <a:solidFill>
                        <a:srgbClr val="404040"/>
                      </a:solidFill>
                      <a:uFillTx/>
                      <a:latin typeface="Aptos"/>
                    </a:defRPr>
                  </a:pPr>
                </a:p>
              </c:txPr>
              <c:dLblPos val="outEnd"/>
              <c:showLegendKey val="0"/>
              <c:showVal val="1"/>
              <c:showCatName val="0"/>
              <c:showSerName val="0"/>
              <c:showPercent val="0"/>
              <c:separator>; </c:separator>
            </c:dLbl>
            <c:txPr>
              <a:bodyPr wrap="square"/>
              <a:lstStyle/>
              <a:p>
                <a:pPr>
                  <a:defRPr b="0" sz="1100" strike="noStrike" u="none">
                    <a:solidFill>
                      <a:srgbClr val="404040"/>
                    </a:solidFill>
                    <a:uFillTx/>
                    <a:latin typeface="Aptos"/>
                  </a:defRPr>
                </a:pPr>
              </a:p>
            </c:txPr>
            <c:dLblPos val="bestFit"/>
            <c:showLegendKey val="0"/>
            <c:showVal val="1"/>
            <c:showCatName val="0"/>
            <c:showSerName val="0"/>
            <c:showPercent val="0"/>
            <c:separator>; </c:separator>
            <c:showLeaderLines val="1"/>
          </c:dLbls>
          <c:cat>
            <c:strRef>
              <c:f>categories</c:f>
              <c:strCache>
                <c:ptCount val="5"/>
                <c:pt idx="0">
                  <c:v>Codziennie</c:v>
                </c:pt>
                <c:pt idx="1">
                  <c:v>Kilka razy w tygodniu</c:v>
                </c:pt>
                <c:pt idx="2">
                  <c:v>Kilka razy w miesiącu</c:v>
                </c:pt>
                <c:pt idx="3">
                  <c:v>Kilka razy w roku albo rzadziej</c:v>
                </c:pt>
                <c:pt idx="4">
                  <c:v>W ogóle nie korzystam</c:v>
                </c:pt>
              </c:strCache>
            </c:strRef>
          </c:cat>
          <c:val>
            <c:numRef>
              <c:f>0</c:f>
              <c:numCache>
                <c:formatCode>General</c:formatCode>
                <c:ptCount val="5"/>
                <c:pt idx="0">
                  <c:v>0.129251700680272</c:v>
                </c:pt>
                <c:pt idx="1">
                  <c:v>0.238095238095238</c:v>
                </c:pt>
                <c:pt idx="2">
                  <c:v>0.204081632653061</c:v>
                </c:pt>
                <c:pt idx="3">
                  <c:v>0.231292517006803</c:v>
                </c:pt>
                <c:pt idx="4">
                  <c:v>0.197278911564626</c:v>
                </c:pt>
              </c:numCache>
            </c:numRef>
          </c:val>
        </c:ser>
        <c:firstSliceAng val="0"/>
      </c:pieChart>
      <c:spPr>
        <a:noFill/>
        <a:ln w="0">
          <a:noFill/>
        </a:ln>
      </c:spPr>
    </c:plotArea>
    <c:legend>
      <c:legendPos val="b"/>
      <c:layout>
        <c:manualLayout>
          <c:xMode val="edge"/>
          <c:yMode val="edge"/>
          <c:x val="0.450125"/>
          <c:y val="0.265"/>
          <c:w val="0.518907431714482"/>
          <c:h val="0.636404044893877"/>
        </c:manualLayout>
      </c:layout>
      <c:overlay val="0"/>
      <c:spPr>
        <a:noFill/>
        <a:ln w="0">
          <a:noFill/>
        </a:ln>
      </c:spPr>
      <c:txPr>
        <a:bodyPr/>
        <a:lstStyle/>
        <a:p>
          <a:pPr>
            <a:defRPr b="0" sz="1050" strike="noStrike" u="none">
              <a:solidFill>
                <a:srgbClr val="595959"/>
              </a:solidFill>
              <a:uFillTx/>
              <a:latin typeface="Aptos"/>
            </a:defRPr>
          </a:pPr>
        </a:p>
      </c:txPr>
    </c:legend>
    <c:plotVisOnly val="1"/>
    <c:dispBlanksAs val="gap"/>
  </c:chart>
  <c:spPr>
    <a:solidFill>
      <a:srgbClr val="ffffff"/>
    </a:solidFill>
    <a:ln w="9360">
      <a:solidFill>
        <a:srgbClr val="d9d9d9"/>
      </a:solidFill>
      <a:round/>
    </a:ln>
  </c:spPr>
</c:chartSpace>
</file>

<file path=word/charts/chart4.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sz="1300" strike="noStrike" u="none">
                <a:uFillTx/>
                <a:latin typeface="Arial"/>
              </a:defRPr>
            </a:pPr>
            <a:r>
              <a:rPr b="1" lang="pl-PL" sz="1050" strike="noStrike" u="none">
                <a:solidFill>
                  <a:srgbClr val="595959"/>
                </a:solidFill>
                <a:uFillTx/>
                <a:latin typeface="Aptos"/>
              </a:rPr>
              <a:t>Jaki jest Pani/Pana zdaniem stan techniczny budynków i ich otoczenia na terenie obszaru rewitalizacji w Nowym Miasteczku?</a:t>
            </a:r>
          </a:p>
        </c:rich>
      </c:tx>
      <c:overlay val="0"/>
      <c:spPr>
        <a:noFill/>
        <a:ln w="0">
          <a:noFill/>
        </a:ln>
      </c:spPr>
    </c:title>
    <c:autoTitleDeleted val="0"/>
    <c:plotArea>
      <c:pieChart>
        <c:varyColors val="1"/>
        <c:ser>
          <c:idx val="0"/>
          <c:order val="0"/>
          <c:tx>
            <c:strRef>
              <c:f>label 0</c:f>
              <c:strCache>
                <c:ptCount val="1"/>
                <c:pt idx="0">
                  <c:v>Seria1</c:v>
                </c:pt>
              </c:strCache>
            </c:strRef>
          </c:tx>
          <c:spPr>
            <a:solidFill>
              <a:srgbClr val="4472c4"/>
            </a:solidFill>
            <a:ln w="0">
              <a:noFill/>
            </a:ln>
          </c:spPr>
          <c:explosion val="0"/>
          <c:dPt>
            <c:idx val="0"/>
            <c:spPr>
              <a:solidFill>
                <a:srgbClr val="4472c4"/>
              </a:solidFill>
              <a:ln w="19080">
                <a:solidFill>
                  <a:srgbClr val="ffffff"/>
                </a:solidFill>
                <a:round/>
              </a:ln>
            </c:spPr>
          </c:dPt>
          <c:dPt>
            <c:idx val="1"/>
            <c:spPr>
              <a:solidFill>
                <a:srgbClr val="ed7d31"/>
              </a:solidFill>
              <a:ln w="19080">
                <a:solidFill>
                  <a:srgbClr val="ffffff"/>
                </a:solidFill>
                <a:round/>
              </a:ln>
            </c:spPr>
          </c:dPt>
          <c:dPt>
            <c:idx val="2"/>
            <c:spPr>
              <a:solidFill>
                <a:srgbClr val="a5a5a5"/>
              </a:solidFill>
              <a:ln w="19080">
                <a:solidFill>
                  <a:srgbClr val="ffffff"/>
                </a:solidFill>
                <a:round/>
              </a:ln>
            </c:spPr>
          </c:dPt>
          <c:dPt>
            <c:idx val="3"/>
            <c:spPr>
              <a:solidFill>
                <a:srgbClr val="ffc000"/>
              </a:solidFill>
              <a:ln w="19080">
                <a:solidFill>
                  <a:srgbClr val="ffffff"/>
                </a:solidFill>
                <a:round/>
              </a:ln>
            </c:spPr>
          </c:dPt>
          <c:dPt>
            <c:idx val="4"/>
            <c:spPr>
              <a:solidFill>
                <a:srgbClr val="5b9bd5"/>
              </a:solidFill>
              <a:ln w="19080">
                <a:solidFill>
                  <a:srgbClr val="ffffff"/>
                </a:solidFill>
                <a:round/>
              </a:ln>
            </c:spPr>
          </c:dPt>
          <c:dPt>
            <c:idx val="5"/>
            <c:spPr>
              <a:solidFill>
                <a:srgbClr val="70ad47"/>
              </a:solidFill>
              <a:ln w="19080">
                <a:solidFill>
                  <a:srgbClr val="ffffff"/>
                </a:solidFill>
                <a:round/>
              </a:ln>
            </c:spPr>
          </c:dPt>
          <c:dLbls>
            <c:numFmt formatCode="0.0%" sourceLinked="0"/>
            <c:dLbl>
              <c:idx val="0"/>
              <c:numFmt formatCode="0.0%" sourceLinked="0"/>
              <c:txPr>
                <a:bodyPr wrap="square"/>
                <a:lstStyle/>
                <a:p>
                  <a:pPr>
                    <a:defRPr b="0" sz="900" strike="noStrike" u="none">
                      <a:solidFill>
                        <a:srgbClr val="404040"/>
                      </a:solidFill>
                      <a:uFillTx/>
                      <a:latin typeface="Aptos"/>
                    </a:defRPr>
                  </a:pPr>
                </a:p>
              </c:txPr>
              <c:dLblPos val="bestFit"/>
              <c:showLegendKey val="0"/>
              <c:showVal val="1"/>
              <c:showCatName val="0"/>
              <c:showSerName val="0"/>
              <c:showPercent val="0"/>
              <c:separator>; </c:separator>
            </c:dLbl>
            <c:dLbl>
              <c:idx val="1"/>
              <c:numFmt formatCode="0.0%" sourceLinked="0"/>
              <c:txPr>
                <a:bodyPr wrap="square"/>
                <a:lstStyle/>
                <a:p>
                  <a:pPr>
                    <a:defRPr b="0" sz="900" strike="noStrike" u="none">
                      <a:solidFill>
                        <a:srgbClr val="404040"/>
                      </a:solidFill>
                      <a:uFillTx/>
                      <a:latin typeface="Aptos"/>
                    </a:defRPr>
                  </a:pPr>
                </a:p>
              </c:txPr>
              <c:dLblPos val="bestFit"/>
              <c:showLegendKey val="0"/>
              <c:showVal val="1"/>
              <c:showCatName val="0"/>
              <c:showSerName val="0"/>
              <c:showPercent val="0"/>
              <c:separator>; </c:separator>
            </c:dLbl>
            <c:dLbl>
              <c:idx val="2"/>
              <c:numFmt formatCode="0.0%" sourceLinked="0"/>
              <c:txPr>
                <a:bodyPr wrap="square"/>
                <a:lstStyle/>
                <a:p>
                  <a:pPr>
                    <a:defRPr b="0" sz="900" strike="noStrike" u="none">
                      <a:solidFill>
                        <a:srgbClr val="404040"/>
                      </a:solidFill>
                      <a:uFillTx/>
                      <a:latin typeface="Aptos"/>
                    </a:defRPr>
                  </a:pPr>
                </a:p>
              </c:txPr>
              <c:dLblPos val="bestFit"/>
              <c:showLegendKey val="0"/>
              <c:showVal val="1"/>
              <c:showCatName val="0"/>
              <c:showSerName val="0"/>
              <c:showPercent val="0"/>
              <c:separator>; </c:separator>
            </c:dLbl>
            <c:dLbl>
              <c:idx val="3"/>
              <c:numFmt formatCode="0.0%" sourceLinked="0"/>
              <c:txPr>
                <a:bodyPr wrap="square"/>
                <a:lstStyle/>
                <a:p>
                  <a:pPr>
                    <a:defRPr b="0" sz="900" strike="noStrike" u="none">
                      <a:solidFill>
                        <a:srgbClr val="404040"/>
                      </a:solidFill>
                      <a:uFillTx/>
                      <a:latin typeface="Aptos"/>
                    </a:defRPr>
                  </a:pPr>
                </a:p>
              </c:txPr>
              <c:dLblPos val="bestFit"/>
              <c:showLegendKey val="0"/>
              <c:showVal val="1"/>
              <c:showCatName val="0"/>
              <c:showSerName val="0"/>
              <c:showPercent val="0"/>
              <c:separator>; </c:separator>
            </c:dLbl>
            <c:dLbl>
              <c:idx val="4"/>
              <c:numFmt formatCode="0.0%" sourceLinked="0"/>
              <c:txPr>
                <a:bodyPr wrap="square"/>
                <a:lstStyle/>
                <a:p>
                  <a:pPr>
                    <a:defRPr b="0" sz="900" strike="noStrike" u="none">
                      <a:solidFill>
                        <a:srgbClr val="404040"/>
                      </a:solidFill>
                      <a:uFillTx/>
                      <a:latin typeface="Aptos"/>
                    </a:defRPr>
                  </a:pPr>
                </a:p>
              </c:txPr>
              <c:dLblPos val="bestFit"/>
              <c:showLegendKey val="0"/>
              <c:showVal val="1"/>
              <c:showCatName val="0"/>
              <c:showSerName val="0"/>
              <c:showPercent val="0"/>
              <c:separator>; </c:separator>
            </c:dLbl>
            <c:dLbl>
              <c:idx val="5"/>
              <c:numFmt formatCode="0.0%" sourceLinked="0"/>
              <c:txPr>
                <a:bodyPr wrap="square"/>
                <a:lstStyle/>
                <a:p>
                  <a:pPr>
                    <a:defRPr b="0" sz="900" strike="noStrike" u="none">
                      <a:solidFill>
                        <a:srgbClr val="404040"/>
                      </a:solidFill>
                      <a:uFillTx/>
                      <a:latin typeface="Aptos"/>
                    </a:defRPr>
                  </a:pPr>
                </a:p>
              </c:txPr>
              <c:dLblPos val="bestFit"/>
              <c:showLegendKey val="0"/>
              <c:showVal val="1"/>
              <c:showCatName val="0"/>
              <c:showSerName val="0"/>
              <c:showPercent val="0"/>
              <c:separator>; </c:separator>
            </c:dLbl>
            <c:txPr>
              <a:bodyPr wrap="square"/>
              <a:lstStyle/>
              <a:p>
                <a:pPr>
                  <a:defRPr b="0" sz="900" strike="noStrike" u="none">
                    <a:solidFill>
                      <a:srgbClr val="404040"/>
                    </a:solidFill>
                    <a:uFillTx/>
                    <a:latin typeface="Aptos"/>
                  </a:defRPr>
                </a:pPr>
              </a:p>
            </c:txPr>
            <c:dLblPos val="bestFit"/>
            <c:showLegendKey val="0"/>
            <c:showVal val="1"/>
            <c:showCatName val="0"/>
            <c:showSerName val="0"/>
            <c:showPercent val="0"/>
            <c:separator>; </c:separator>
            <c:showLeaderLines val="1"/>
          </c:dLbls>
          <c:cat>
            <c:strRef>
              <c:f>categories</c:f>
              <c:strCache>
                <c:ptCount val="6"/>
                <c:pt idx="0">
                  <c:v>Bardzo dobry</c:v>
                </c:pt>
                <c:pt idx="1">
                  <c:v>Dobry</c:v>
                </c:pt>
                <c:pt idx="2">
                  <c:v>Ani dobry, ani zły</c:v>
                </c:pt>
                <c:pt idx="3">
                  <c:v>Zły</c:v>
                </c:pt>
                <c:pt idx="4">
                  <c:v>Bardzo zły</c:v>
                </c:pt>
                <c:pt idx="5">
                  <c:v>Nie mam zdania</c:v>
                </c:pt>
              </c:strCache>
            </c:strRef>
          </c:cat>
          <c:val>
            <c:numRef>
              <c:f>0</c:f>
              <c:numCache>
                <c:formatCode>General</c:formatCode>
                <c:ptCount val="6"/>
                <c:pt idx="0">
                  <c:v>0.037037037037037</c:v>
                </c:pt>
                <c:pt idx="1">
                  <c:v>0.192592592592593</c:v>
                </c:pt>
                <c:pt idx="2">
                  <c:v>0.340740740740741</c:v>
                </c:pt>
                <c:pt idx="3">
                  <c:v>0.214814814814815</c:v>
                </c:pt>
                <c:pt idx="4">
                  <c:v>0.177777777777778</c:v>
                </c:pt>
                <c:pt idx="5">
                  <c:v>0.037037037037037</c:v>
                </c:pt>
              </c:numCache>
            </c:numRef>
          </c:val>
        </c:ser>
        <c:firstSliceAng val="0"/>
      </c:pieChart>
      <c:spPr>
        <a:noFill/>
        <a:ln w="0">
          <a:noFill/>
        </a:ln>
      </c:spPr>
    </c:plotArea>
    <c:legend>
      <c:legendPos val="b"/>
      <c:overlay val="0"/>
      <c:spPr>
        <a:noFill/>
        <a:ln w="0">
          <a:noFill/>
        </a:ln>
      </c:spPr>
      <c:txPr>
        <a:bodyPr/>
        <a:lstStyle/>
        <a:p>
          <a:pPr>
            <a:defRPr b="0" sz="900" strike="noStrike" u="none">
              <a:solidFill>
                <a:srgbClr val="595959"/>
              </a:solidFill>
              <a:uFillTx/>
              <a:latin typeface="Aptos"/>
            </a:defRPr>
          </a:pPr>
        </a:p>
      </c:txPr>
    </c:legend>
    <c:plotVisOnly val="1"/>
    <c:dispBlanksAs val="gap"/>
  </c:chart>
  <c:spPr>
    <a:solidFill>
      <a:srgbClr val="ffffff"/>
    </a:solidFill>
    <a:ln w="9360">
      <a:solidFill>
        <a:srgbClr val="d9d9d9"/>
      </a:solidFill>
      <a:round/>
    </a:ln>
  </c:spPr>
</c:chartSpace>
</file>

<file path=word/theme/theme1.xml><?xml version="1.0" encoding="utf-8"?>
<a:theme xmlns:a="http://schemas.openxmlformats.org/drawingml/2006/main" xmlns:r="http://schemas.openxmlformats.org/officeDocument/2006/relationships" name="Motyw pakietu Office">
  <a:themeElements>
    <a:clrScheme name="Pakiet Office 2013–2022">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Aptos Display" panose="02110004020202020204" pitchFamily="0" charset="1"/>
        <a:ea typeface=""/>
        <a:cs typeface=""/>
      </a:majorFont>
      <a:minorFont>
        <a:latin typeface="Aptos" panose="02110004020202020204"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69319A1C5EA10E4BBCCF1779AF2033EC" ma:contentTypeVersion="19" ma:contentTypeDescription="Utwórz nowy dokument." ma:contentTypeScope="" ma:versionID="3caa38f1233a645e8436da581ba892f2">
  <xsd:schema xmlns:xsd="http://www.w3.org/2001/XMLSchema" xmlns:xs="http://www.w3.org/2001/XMLSchema" xmlns:p="http://schemas.microsoft.com/office/2006/metadata/properties" xmlns:ns3="ef76c754-7e62-4f80-9e64-2af681554055" xmlns:ns4="618db4a0-c901-449e-a24c-777c292c7546" targetNamespace="http://schemas.microsoft.com/office/2006/metadata/properties" ma:root="true" ma:fieldsID="3922b8d8bd57114d6c3f0c36c3112d16" ns3:_="" ns4:_="">
    <xsd:import namespace="ef76c754-7e62-4f80-9e64-2af681554055"/>
    <xsd:import namespace="618db4a0-c901-449e-a24c-777c292c7546"/>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4:SharedWithUsers" minOccurs="0"/>
                <xsd:element ref="ns4:SharedWithDetails" minOccurs="0"/>
                <xsd:element ref="ns4:SharingHintHash"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c754-7e62-4f80-9e64-2af681554055"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Location" ma:index="15" nillable="true" ma:displayName="MediaServiceLocation" ma:description="" ma:internalName="MediaServiceLocatio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18db4a0-c901-449e-a24c-777c292c7546" elementFormDefault="qualified">
    <xsd:import namespace="http://schemas.microsoft.com/office/2006/documentManagement/types"/>
    <xsd:import namespace="http://schemas.microsoft.com/office/infopath/2007/PartnerControls"/>
    <xsd:element name="SharedWithUsers" ma:index="12" nillable="true" ma:displayName="Udostępnianie"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Udostępnione dla — szczegóły" ma:description="" ma:internalName="SharedWithDetails" ma:readOnly="true">
      <xsd:simpleType>
        <xsd:restriction base="dms:Note">
          <xsd:maxLength value="255"/>
        </xsd:restriction>
      </xsd:simpleType>
    </xsd:element>
    <xsd:element name="SharingHintHash" ma:index="14" nillable="true" ma:displayName="Skrót wskazówki dotyczącej udostępniania"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activity xmlns="ef76c754-7e62-4f80-9e64-2af681554055" xsi:nil="true"/>
  </documentManagement>
</p:properties>
</file>

<file path=customXml/itemProps1.xml><?xml version="1.0" encoding="utf-8"?>
<ds:datastoreItem xmlns:ds="http://schemas.openxmlformats.org/officeDocument/2006/customXml" ds:itemID="{BBB92028-6A46-4FAA-B8BC-003ECB0F2A9E}">
  <ds:schemaRefs>
    <ds:schemaRef ds:uri="http://schemas.openxmlformats.org/officeDocument/2006/bibliography"/>
  </ds:schemaRefs>
</ds:datastoreItem>
</file>

<file path=customXml/itemProps2.xml><?xml version="1.0" encoding="utf-8"?>
<ds:datastoreItem xmlns:ds="http://schemas.openxmlformats.org/officeDocument/2006/customXml" ds:itemID="{22B6D0A6-BAEF-4E12-AC34-AF73F3BC094A}">
  <ds:schemaRefs>
    <ds:schemaRef ds:uri="http://schemas.microsoft.com/sharepoint/v3/contenttype/forms"/>
  </ds:schemaRefs>
</ds:datastoreItem>
</file>

<file path=customXml/itemProps3.xml><?xml version="1.0" encoding="utf-8"?>
<ds:datastoreItem xmlns:ds="http://schemas.openxmlformats.org/officeDocument/2006/customXml" ds:itemID="{6BE0C76D-D8E8-46AB-93F8-D18F1404B9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c754-7e62-4f80-9e64-2af681554055"/>
    <ds:schemaRef ds:uri="618db4a0-c901-449e-a24c-777c292c75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0989807-C9D8-4760-B875-36499E897126}">
  <ds:schemaRefs>
    <ds:schemaRef ds:uri="http://schemas.microsoft.com/office/2006/metadata/properties"/>
    <ds:schemaRef ds:uri="http://schemas.microsoft.com/office/infopath/2007/PartnerControls"/>
    <ds:schemaRef ds:uri="ef76c754-7e62-4f80-9e64-2af681554055"/>
  </ds:schemaRefs>
</ds:datastoreItem>
</file>

<file path=docProps/app.xml><?xml version="1.0" encoding="utf-8"?>
<Properties xmlns="http://schemas.openxmlformats.org/officeDocument/2006/extended-properties" xmlns:vt="http://schemas.openxmlformats.org/officeDocument/2006/docPropsVTypes">
  <Template>Normal</Template>
  <TotalTime>761</TotalTime>
  <Application>LibreOffice/24.8.0.3$Windows_X86_64 LibreOffice_project/0bdf1299c94fe897b119f97f3c613e9dca6be583</Application>
  <AppVersion>15.0000</AppVersion>
  <Pages>117</Pages>
  <Words>25076</Words>
  <Characters>176456</Characters>
  <CharactersWithSpaces>200120</CharactersWithSpaces>
  <Paragraphs>1613</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2025-06-30T14:13:00Z</dcterms:created>
  <dc:creator>Grycz Justyna</dc:creator>
  <dc:description/>
  <dc:language>pl-PL</dc:language>
  <cp:lastModifiedBy/>
  <cp:lastPrinted>2025-09-15T12:29:38Z</cp:lastPrinted>
  <dcterms:modified xsi:type="dcterms:W3CDTF">2025-12-19T08:35:03Z</dcterms:modified>
  <cp:revision>68</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0x01010069319A1C5EA10E4BBCCF1779AF2033EC</vt:lpwstr>
  </property>
</Properties>
</file>